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EF" w:rsidRPr="008C2AF9" w:rsidRDefault="00675DEF" w:rsidP="009B3330">
      <w:pPr>
        <w:spacing w:after="0" w:line="240" w:lineRule="auto"/>
        <w:jc w:val="right"/>
        <w:rPr>
          <w:rFonts w:ascii="Arial" w:hAnsi="Arial" w:cs="Arial"/>
          <w:b/>
          <w:sz w:val="20"/>
          <w:szCs w:val="20"/>
          <w:lang w:val="en-GB"/>
        </w:rPr>
      </w:pPr>
      <w:bookmarkStart w:id="0" w:name="_GoBack"/>
      <w:bookmarkEnd w:id="0"/>
    </w:p>
    <w:p w:rsidR="002C6CF6" w:rsidRPr="008C2AF9" w:rsidRDefault="001D31DF" w:rsidP="002C6CF6">
      <w:pPr>
        <w:jc w:val="right"/>
        <w:rPr>
          <w:rFonts w:ascii="Arial" w:eastAsia="Times New Roman" w:hAnsi="Arial" w:cs="Arial"/>
          <w:color w:val="595959" w:themeColor="text1" w:themeTint="A6"/>
          <w:sz w:val="18"/>
          <w:szCs w:val="18"/>
          <w:lang w:val="en-US" w:eastAsia="pl-PL"/>
        </w:rPr>
      </w:pPr>
      <w:r w:rsidRPr="008C2AF9">
        <w:rPr>
          <w:rFonts w:ascii="Arial" w:eastAsia="Times New Roman" w:hAnsi="Arial" w:cs="Arial"/>
          <w:color w:val="595959" w:themeColor="text1" w:themeTint="A6"/>
          <w:sz w:val="18"/>
          <w:szCs w:val="18"/>
          <w:lang w:val="en-US" w:eastAsia="pl-PL"/>
        </w:rPr>
        <w:t>Warsaw</w:t>
      </w:r>
      <w:r w:rsidR="002C6CF6" w:rsidRPr="008C2AF9">
        <w:rPr>
          <w:rFonts w:ascii="Arial" w:eastAsia="Times New Roman" w:hAnsi="Arial" w:cs="Arial"/>
          <w:color w:val="595959" w:themeColor="text1" w:themeTint="A6"/>
          <w:sz w:val="18"/>
          <w:szCs w:val="18"/>
          <w:lang w:val="en-US" w:eastAsia="pl-PL"/>
        </w:rPr>
        <w:t xml:space="preserve">, </w:t>
      </w:r>
      <w:r w:rsidR="004D304C">
        <w:rPr>
          <w:rFonts w:ascii="Arial" w:eastAsia="Times New Roman" w:hAnsi="Arial" w:cs="Arial"/>
          <w:color w:val="595959" w:themeColor="text1" w:themeTint="A6"/>
          <w:sz w:val="18"/>
          <w:szCs w:val="18"/>
          <w:lang w:val="en-US" w:eastAsia="pl-PL"/>
        </w:rPr>
        <w:t>4</w:t>
      </w:r>
      <w:r w:rsidR="00735CC7" w:rsidRPr="008C2AF9">
        <w:rPr>
          <w:rFonts w:ascii="Arial" w:eastAsia="Times New Roman" w:hAnsi="Arial" w:cs="Arial"/>
          <w:color w:val="595959" w:themeColor="text1" w:themeTint="A6"/>
          <w:sz w:val="18"/>
          <w:szCs w:val="18"/>
          <w:lang w:val="en-US" w:eastAsia="pl-PL"/>
        </w:rPr>
        <w:t xml:space="preserve"> </w:t>
      </w:r>
      <w:r w:rsidR="00C3125F" w:rsidRPr="008C2AF9">
        <w:rPr>
          <w:rFonts w:ascii="Arial" w:eastAsia="Times New Roman" w:hAnsi="Arial" w:cs="Arial"/>
          <w:color w:val="595959" w:themeColor="text1" w:themeTint="A6"/>
          <w:sz w:val="18"/>
          <w:szCs w:val="18"/>
          <w:lang w:val="en-US" w:eastAsia="pl-PL"/>
        </w:rPr>
        <w:t>April</w:t>
      </w:r>
      <w:r w:rsidR="00317A48" w:rsidRPr="008C2AF9">
        <w:rPr>
          <w:rFonts w:ascii="Arial" w:eastAsia="Times New Roman" w:hAnsi="Arial" w:cs="Arial"/>
          <w:color w:val="595959" w:themeColor="text1" w:themeTint="A6"/>
          <w:sz w:val="18"/>
          <w:szCs w:val="18"/>
          <w:lang w:val="en-US" w:eastAsia="pl-PL"/>
        </w:rPr>
        <w:t xml:space="preserve"> 2013</w:t>
      </w:r>
    </w:p>
    <w:p w:rsidR="002C6CF6" w:rsidRPr="008C2AF9" w:rsidRDefault="002C6CF6" w:rsidP="002C6CF6">
      <w:pPr>
        <w:rPr>
          <w:rFonts w:ascii="Arial" w:hAnsi="Arial" w:cs="Arial"/>
          <w:b/>
          <w:bCs/>
          <w:lang w:val="en-GB"/>
        </w:rPr>
      </w:pPr>
    </w:p>
    <w:p w:rsidR="002C6CF6" w:rsidRPr="008C2AF9" w:rsidRDefault="00443F31" w:rsidP="002C6CF6">
      <w:pPr>
        <w:spacing w:after="360"/>
        <w:jc w:val="center"/>
        <w:rPr>
          <w:rFonts w:ascii="Arial" w:eastAsiaTheme="minorHAnsi" w:hAnsi="Arial" w:cs="Arial"/>
          <w:b/>
          <w:color w:val="4F81BD" w:themeColor="accent1"/>
          <w:sz w:val="28"/>
          <w:szCs w:val="28"/>
          <w:lang w:val="en-US" w:eastAsia="pl-PL"/>
        </w:rPr>
      </w:pPr>
      <w:r w:rsidRPr="008C2AF9">
        <w:rPr>
          <w:rFonts w:ascii="Arial" w:eastAsiaTheme="minorHAnsi" w:hAnsi="Arial" w:cs="Arial"/>
          <w:b/>
          <w:color w:val="4F81BD" w:themeColor="accent1"/>
          <w:sz w:val="28"/>
          <w:szCs w:val="28"/>
          <w:lang w:val="en-US" w:eastAsia="pl-PL"/>
        </w:rPr>
        <w:t xml:space="preserve">Derivatives Market in </w:t>
      </w:r>
      <w:r w:rsidR="00C3125F" w:rsidRPr="008C2AF9">
        <w:rPr>
          <w:rFonts w:ascii="Arial" w:eastAsiaTheme="minorHAnsi" w:hAnsi="Arial" w:cs="Arial"/>
          <w:b/>
          <w:color w:val="4F81BD" w:themeColor="accent1"/>
          <w:sz w:val="28"/>
          <w:szCs w:val="28"/>
          <w:lang w:val="en-US" w:eastAsia="pl-PL"/>
        </w:rPr>
        <w:t>March</w:t>
      </w:r>
      <w:r w:rsidR="00106A91" w:rsidRPr="008C2AF9">
        <w:rPr>
          <w:rFonts w:ascii="Arial" w:eastAsiaTheme="minorHAnsi" w:hAnsi="Arial" w:cs="Arial"/>
          <w:b/>
          <w:color w:val="4F81BD" w:themeColor="accent1"/>
          <w:sz w:val="28"/>
          <w:szCs w:val="28"/>
          <w:lang w:val="en-US" w:eastAsia="pl-PL"/>
        </w:rPr>
        <w:t xml:space="preserve"> 2013</w:t>
      </w:r>
      <w:r w:rsidR="002C6CF6" w:rsidRPr="008C2AF9">
        <w:rPr>
          <w:rFonts w:ascii="Arial" w:eastAsiaTheme="minorHAnsi" w:hAnsi="Arial" w:cs="Arial"/>
          <w:b/>
          <w:color w:val="4F81BD" w:themeColor="accent1"/>
          <w:sz w:val="28"/>
          <w:szCs w:val="28"/>
          <w:lang w:val="en-US" w:eastAsia="pl-PL"/>
        </w:rPr>
        <w:t xml:space="preserve"> </w:t>
      </w:r>
    </w:p>
    <w:p w:rsidR="002C6CF6" w:rsidRPr="004D304C" w:rsidRDefault="008C2AF9" w:rsidP="008C2AF9">
      <w:pPr>
        <w:pStyle w:val="ListParagraph"/>
        <w:spacing w:line="360" w:lineRule="auto"/>
        <w:jc w:val="center"/>
        <w:rPr>
          <w:rFonts w:cs="Arial"/>
          <w:i/>
          <w:color w:val="595959" w:themeColor="text1" w:themeTint="A6"/>
          <w:sz w:val="18"/>
          <w:szCs w:val="18"/>
          <w:lang w:val="en-US"/>
        </w:rPr>
      </w:pPr>
      <w:r w:rsidRPr="004D304C">
        <w:rPr>
          <w:rFonts w:cs="Arial"/>
          <w:i/>
          <w:color w:val="595959" w:themeColor="text1" w:themeTint="A6"/>
          <w:sz w:val="18"/>
          <w:szCs w:val="18"/>
          <w:lang w:val="en-US"/>
        </w:rPr>
        <w:t>PRESS RELEASE</w:t>
      </w:r>
    </w:p>
    <w:p w:rsidR="008C2AF9" w:rsidRPr="004D304C" w:rsidRDefault="008C2AF9" w:rsidP="008C2AF9">
      <w:pPr>
        <w:pStyle w:val="ListParagraph"/>
        <w:spacing w:line="360" w:lineRule="auto"/>
        <w:jc w:val="center"/>
        <w:rPr>
          <w:rFonts w:cs="Arial"/>
          <w:i/>
          <w:color w:val="595959" w:themeColor="text1" w:themeTint="A6"/>
          <w:sz w:val="18"/>
          <w:szCs w:val="18"/>
          <w:lang w:val="en-US"/>
        </w:rPr>
      </w:pPr>
    </w:p>
    <w:p w:rsidR="002C6CF6" w:rsidRPr="008C2AF9" w:rsidRDefault="001D31DF" w:rsidP="008C2AF9">
      <w:pPr>
        <w:pStyle w:val="ListParagraph"/>
        <w:numPr>
          <w:ilvl w:val="0"/>
          <w:numId w:val="7"/>
        </w:numPr>
        <w:tabs>
          <w:tab w:val="clear" w:pos="643"/>
        </w:tabs>
        <w:spacing w:line="276" w:lineRule="auto"/>
        <w:ind w:left="714" w:hanging="357"/>
        <w:jc w:val="both"/>
        <w:rPr>
          <w:rFonts w:cs="Arial"/>
          <w:b/>
          <w:color w:val="595959" w:themeColor="text1" w:themeTint="A6"/>
          <w:sz w:val="18"/>
          <w:szCs w:val="18"/>
          <w:lang w:val="en-US"/>
        </w:rPr>
      </w:pPr>
      <w:r w:rsidRPr="008C2AF9">
        <w:rPr>
          <w:rFonts w:cs="Arial"/>
          <w:b/>
          <w:color w:val="595959" w:themeColor="text1" w:themeTint="A6"/>
          <w:sz w:val="18"/>
          <w:szCs w:val="18"/>
          <w:lang w:val="en-US"/>
        </w:rPr>
        <w:t xml:space="preserve">The volume of trading in all derivatives was </w:t>
      </w:r>
      <w:r w:rsidR="008C2AF9" w:rsidRPr="008C2AF9">
        <w:rPr>
          <w:rFonts w:cs="Arial"/>
          <w:b/>
          <w:color w:val="595959" w:themeColor="text1" w:themeTint="A6"/>
          <w:sz w:val="18"/>
          <w:szCs w:val="18"/>
          <w:lang w:val="en-US"/>
        </w:rPr>
        <w:t>1.</w:t>
      </w:r>
      <w:r w:rsidR="008C2AF9">
        <w:rPr>
          <w:rFonts w:cs="Arial"/>
          <w:b/>
          <w:color w:val="595959" w:themeColor="text1" w:themeTint="A6"/>
          <w:sz w:val="18"/>
          <w:szCs w:val="18"/>
          <w:lang w:val="en-US"/>
        </w:rPr>
        <w:t>3</w:t>
      </w:r>
      <w:r w:rsidR="00C3125F" w:rsidRPr="008C2AF9">
        <w:rPr>
          <w:rFonts w:cs="Arial"/>
          <w:b/>
          <w:color w:val="595959" w:themeColor="text1" w:themeTint="A6"/>
          <w:sz w:val="18"/>
          <w:szCs w:val="18"/>
          <w:lang w:val="en-US"/>
        </w:rPr>
        <w:t xml:space="preserve"> million</w:t>
      </w:r>
      <w:r w:rsidRPr="008C2AF9">
        <w:rPr>
          <w:rFonts w:cs="Arial"/>
          <w:b/>
          <w:color w:val="595959" w:themeColor="text1" w:themeTint="A6"/>
          <w:sz w:val="18"/>
          <w:szCs w:val="18"/>
          <w:lang w:val="en-US"/>
        </w:rPr>
        <w:t xml:space="preserve"> instruments in</w:t>
      </w:r>
      <w:r w:rsidR="00C3125F" w:rsidRPr="008C2AF9">
        <w:rPr>
          <w:rFonts w:cs="Arial"/>
          <w:b/>
          <w:color w:val="595959" w:themeColor="text1" w:themeTint="A6"/>
          <w:sz w:val="18"/>
          <w:szCs w:val="18"/>
          <w:lang w:val="en-US"/>
        </w:rPr>
        <w:t xml:space="preserve"> March</w:t>
      </w:r>
      <w:r w:rsidR="00443F31" w:rsidRPr="008C2AF9">
        <w:rPr>
          <w:rFonts w:cs="Arial"/>
          <w:b/>
          <w:color w:val="595959" w:themeColor="text1" w:themeTint="A6"/>
          <w:sz w:val="18"/>
          <w:szCs w:val="18"/>
          <w:lang w:val="en-US"/>
        </w:rPr>
        <w:t xml:space="preserve"> 2013.</w:t>
      </w:r>
    </w:p>
    <w:p w:rsidR="001D31DF" w:rsidRPr="008C2AF9" w:rsidRDefault="001D31DF" w:rsidP="008C2AF9">
      <w:pPr>
        <w:pStyle w:val="ListParagraph"/>
        <w:numPr>
          <w:ilvl w:val="0"/>
          <w:numId w:val="7"/>
        </w:numPr>
        <w:tabs>
          <w:tab w:val="clear" w:pos="643"/>
        </w:tabs>
        <w:spacing w:line="276" w:lineRule="auto"/>
        <w:ind w:left="714" w:hanging="357"/>
        <w:jc w:val="both"/>
        <w:rPr>
          <w:rFonts w:cs="Arial"/>
          <w:b/>
          <w:color w:val="595959" w:themeColor="text1" w:themeTint="A6"/>
          <w:sz w:val="18"/>
          <w:szCs w:val="18"/>
          <w:lang w:val="en-US"/>
        </w:rPr>
      </w:pPr>
      <w:r w:rsidRPr="008C2AF9">
        <w:rPr>
          <w:rFonts w:cs="Arial"/>
          <w:b/>
          <w:color w:val="595959" w:themeColor="text1" w:themeTint="A6"/>
          <w:sz w:val="18"/>
          <w:szCs w:val="18"/>
          <w:lang w:val="en-US"/>
        </w:rPr>
        <w:t xml:space="preserve">The number of open </w:t>
      </w:r>
      <w:r w:rsidR="00C3125F" w:rsidRPr="008C2AF9">
        <w:rPr>
          <w:rFonts w:cs="Arial"/>
          <w:b/>
          <w:color w:val="595959" w:themeColor="text1" w:themeTint="A6"/>
          <w:sz w:val="18"/>
          <w:szCs w:val="18"/>
          <w:lang w:val="en-US"/>
        </w:rPr>
        <w:t>interest was 211.7</w:t>
      </w:r>
      <w:r w:rsidRPr="008C2AF9">
        <w:rPr>
          <w:rFonts w:cs="Arial"/>
          <w:b/>
          <w:color w:val="595959" w:themeColor="text1" w:themeTint="A6"/>
          <w:sz w:val="18"/>
          <w:szCs w:val="18"/>
          <w:lang w:val="en-US"/>
        </w:rPr>
        <w:t xml:space="preserve"> thousand at the end of</w:t>
      </w:r>
      <w:r w:rsidR="00C3125F" w:rsidRPr="008C2AF9">
        <w:rPr>
          <w:rFonts w:cs="Arial"/>
          <w:b/>
          <w:color w:val="595959" w:themeColor="text1" w:themeTint="A6"/>
          <w:sz w:val="18"/>
          <w:szCs w:val="18"/>
          <w:lang w:val="en-US"/>
        </w:rPr>
        <w:t xml:space="preserve"> March</w:t>
      </w:r>
      <w:r w:rsidR="00443F31" w:rsidRPr="008C2AF9">
        <w:rPr>
          <w:rFonts w:cs="Arial"/>
          <w:b/>
          <w:color w:val="595959" w:themeColor="text1" w:themeTint="A6"/>
          <w:sz w:val="18"/>
          <w:szCs w:val="18"/>
          <w:lang w:val="en-US"/>
        </w:rPr>
        <w:t xml:space="preserve"> 2013.</w:t>
      </w:r>
    </w:p>
    <w:p w:rsidR="002C6CF6" w:rsidRPr="008C2AF9" w:rsidRDefault="002C6CF6" w:rsidP="002C6CF6">
      <w:pPr>
        <w:jc w:val="both"/>
        <w:rPr>
          <w:rFonts w:ascii="Arial" w:hAnsi="Arial" w:cs="Arial"/>
          <w:b/>
          <w:bCs/>
          <w:sz w:val="20"/>
          <w:szCs w:val="20"/>
          <w:lang w:val="en-GB"/>
        </w:rPr>
      </w:pPr>
    </w:p>
    <w:p w:rsidR="002C6CF6" w:rsidRPr="008C2AF9" w:rsidRDefault="001D31DF" w:rsidP="002C6CF6">
      <w:pPr>
        <w:jc w:val="both"/>
        <w:rPr>
          <w:rFonts w:ascii="Arial" w:eastAsia="Times New Roman" w:hAnsi="Arial" w:cs="Arial"/>
          <w:b/>
          <w:color w:val="595959" w:themeColor="text1" w:themeTint="A6"/>
          <w:sz w:val="18"/>
          <w:szCs w:val="18"/>
          <w:lang w:eastAsia="pl-PL"/>
        </w:rPr>
      </w:pPr>
      <w:r w:rsidRPr="008C2AF9">
        <w:rPr>
          <w:rFonts w:ascii="Arial" w:eastAsia="Times New Roman" w:hAnsi="Arial" w:cs="Arial"/>
          <w:b/>
          <w:color w:val="595959" w:themeColor="text1" w:themeTint="A6"/>
          <w:sz w:val="18"/>
          <w:szCs w:val="18"/>
          <w:lang w:eastAsia="pl-PL"/>
        </w:rPr>
        <w:t>WIG20 futures</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 xml:space="preserve">The volume of trading in WIG20 futures was </w:t>
      </w:r>
      <w:r w:rsidR="00C3125F" w:rsidRPr="004D304C">
        <w:rPr>
          <w:rFonts w:cs="Arial"/>
          <w:color w:val="595959" w:themeColor="text1" w:themeTint="A6"/>
          <w:sz w:val="18"/>
          <w:szCs w:val="18"/>
          <w:lang w:val="en-US"/>
        </w:rPr>
        <w:t>896</w:t>
      </w:r>
      <w:r w:rsidR="00443F31" w:rsidRPr="004D304C">
        <w:rPr>
          <w:rFonts w:cs="Arial"/>
          <w:color w:val="595959" w:themeColor="text1" w:themeTint="A6"/>
          <w:sz w:val="18"/>
          <w:szCs w:val="18"/>
          <w:lang w:val="en-US"/>
        </w:rPr>
        <w:t>.</w:t>
      </w:r>
      <w:r w:rsidR="00C3125F" w:rsidRPr="004D304C">
        <w:rPr>
          <w:rFonts w:cs="Arial"/>
          <w:color w:val="595959" w:themeColor="text1" w:themeTint="A6"/>
          <w:sz w:val="18"/>
          <w:szCs w:val="18"/>
          <w:lang w:val="en-US"/>
        </w:rPr>
        <w:t>8</w:t>
      </w:r>
      <w:r w:rsidR="00443F31" w:rsidRPr="004D304C">
        <w:rPr>
          <w:rFonts w:cs="Arial"/>
          <w:color w:val="595959" w:themeColor="text1" w:themeTint="A6"/>
          <w:sz w:val="18"/>
          <w:szCs w:val="18"/>
          <w:lang w:val="en-US"/>
        </w:rPr>
        <w:t xml:space="preserve"> thousand</w:t>
      </w:r>
      <w:r w:rsidR="00C3125F" w:rsidRPr="004D304C">
        <w:rPr>
          <w:rFonts w:cs="Arial"/>
          <w:color w:val="595959" w:themeColor="text1" w:themeTint="A6"/>
          <w:sz w:val="18"/>
          <w:szCs w:val="18"/>
          <w:lang w:val="en-US"/>
        </w:rPr>
        <w:t xml:space="preserve"> contracts in March</w:t>
      </w:r>
      <w:r w:rsidRPr="004D304C">
        <w:rPr>
          <w:rFonts w:cs="Arial"/>
          <w:color w:val="595959" w:themeColor="text1" w:themeTint="A6"/>
          <w:sz w:val="18"/>
          <w:szCs w:val="18"/>
          <w:lang w:val="en-US"/>
        </w:rPr>
        <w:t xml:space="preserve"> 2013;</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The number of open interest in WIG20 futures was 1</w:t>
      </w:r>
      <w:r w:rsidR="00C3125F" w:rsidRPr="004D304C">
        <w:rPr>
          <w:rFonts w:cs="Arial"/>
          <w:color w:val="595959" w:themeColor="text1" w:themeTint="A6"/>
          <w:sz w:val="18"/>
          <w:szCs w:val="18"/>
          <w:lang w:val="en-US"/>
        </w:rPr>
        <w:t>16.4</w:t>
      </w:r>
      <w:r w:rsidRPr="004D304C">
        <w:rPr>
          <w:rFonts w:cs="Arial"/>
          <w:color w:val="595959" w:themeColor="text1" w:themeTint="A6"/>
          <w:sz w:val="18"/>
          <w:szCs w:val="18"/>
          <w:lang w:val="en-US"/>
        </w:rPr>
        <w:t xml:space="preserve"> thousand</w:t>
      </w:r>
      <w:r w:rsidR="00E307A5" w:rsidRPr="004D304C">
        <w:rPr>
          <w:rFonts w:cs="Arial"/>
          <w:color w:val="595959" w:themeColor="text1" w:themeTint="A6"/>
          <w:sz w:val="18"/>
          <w:szCs w:val="18"/>
          <w:lang w:val="en-US"/>
        </w:rPr>
        <w:t xml:space="preserve"> </w:t>
      </w:r>
      <w:r w:rsidR="00C3125F" w:rsidRPr="004D304C">
        <w:rPr>
          <w:rFonts w:cs="Arial"/>
          <w:color w:val="595959" w:themeColor="text1" w:themeTint="A6"/>
          <w:sz w:val="18"/>
          <w:szCs w:val="18"/>
          <w:lang w:val="en-US"/>
        </w:rPr>
        <w:t>contracts at the end of March</w:t>
      </w:r>
      <w:r w:rsidRPr="004D304C">
        <w:rPr>
          <w:rFonts w:cs="Arial"/>
          <w:color w:val="595959" w:themeColor="text1" w:themeTint="A6"/>
          <w:sz w:val="18"/>
          <w:szCs w:val="18"/>
          <w:lang w:val="en-US"/>
        </w:rPr>
        <w:t xml:space="preserve"> 2013.</w:t>
      </w:r>
    </w:p>
    <w:p w:rsidR="002C6CF6" w:rsidRPr="008C2AF9" w:rsidRDefault="002C6CF6" w:rsidP="002C6CF6">
      <w:pPr>
        <w:jc w:val="both"/>
        <w:rPr>
          <w:rFonts w:ascii="Arial" w:hAnsi="Arial" w:cs="Arial"/>
          <w:b/>
          <w:bCs/>
          <w:sz w:val="20"/>
          <w:szCs w:val="20"/>
          <w:lang w:val="en-GB"/>
        </w:rPr>
      </w:pPr>
    </w:p>
    <w:p w:rsidR="002C6CF6" w:rsidRPr="008C2AF9" w:rsidRDefault="001D31DF" w:rsidP="002C6CF6">
      <w:pPr>
        <w:jc w:val="both"/>
        <w:rPr>
          <w:rFonts w:ascii="Arial" w:eastAsia="Times New Roman" w:hAnsi="Arial" w:cs="Arial"/>
          <w:b/>
          <w:color w:val="595959" w:themeColor="text1" w:themeTint="A6"/>
          <w:sz w:val="18"/>
          <w:szCs w:val="18"/>
          <w:lang w:eastAsia="pl-PL"/>
        </w:rPr>
      </w:pPr>
      <w:r w:rsidRPr="008C2AF9">
        <w:rPr>
          <w:rFonts w:ascii="Arial" w:eastAsia="Times New Roman" w:hAnsi="Arial" w:cs="Arial"/>
          <w:b/>
          <w:color w:val="595959" w:themeColor="text1" w:themeTint="A6"/>
          <w:sz w:val="18"/>
          <w:szCs w:val="18"/>
          <w:lang w:eastAsia="pl-PL"/>
        </w:rPr>
        <w:t>Options</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 xml:space="preserve">The volume of trading in WIG20 options was </w:t>
      </w:r>
      <w:r w:rsidR="00C3125F" w:rsidRPr="004D304C">
        <w:rPr>
          <w:rFonts w:cs="Arial"/>
          <w:color w:val="595959" w:themeColor="text1" w:themeTint="A6"/>
          <w:sz w:val="18"/>
          <w:szCs w:val="18"/>
          <w:lang w:val="en-US"/>
        </w:rPr>
        <w:t>74</w:t>
      </w:r>
      <w:r w:rsidR="0092521F" w:rsidRPr="004D304C">
        <w:rPr>
          <w:rFonts w:cs="Arial"/>
          <w:color w:val="595959" w:themeColor="text1" w:themeTint="A6"/>
          <w:sz w:val="18"/>
          <w:szCs w:val="18"/>
          <w:lang w:val="en-US"/>
        </w:rPr>
        <w:t>.4</w:t>
      </w:r>
      <w:r w:rsidR="00C3125F" w:rsidRPr="004D304C">
        <w:rPr>
          <w:rFonts w:cs="Arial"/>
          <w:color w:val="595959" w:themeColor="text1" w:themeTint="A6"/>
          <w:sz w:val="18"/>
          <w:szCs w:val="18"/>
          <w:lang w:val="en-US"/>
        </w:rPr>
        <w:t xml:space="preserve"> thousand options in March</w:t>
      </w:r>
      <w:r w:rsidRPr="004D304C">
        <w:rPr>
          <w:rFonts w:cs="Arial"/>
          <w:color w:val="595959" w:themeColor="text1" w:themeTint="A6"/>
          <w:sz w:val="18"/>
          <w:szCs w:val="18"/>
          <w:lang w:val="en-US"/>
        </w:rPr>
        <w:t xml:space="preserve"> 2013;</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The number of</w:t>
      </w:r>
      <w:r w:rsidR="00C3125F" w:rsidRPr="004D304C">
        <w:rPr>
          <w:rFonts w:cs="Arial"/>
          <w:color w:val="595959" w:themeColor="text1" w:themeTint="A6"/>
          <w:sz w:val="18"/>
          <w:szCs w:val="18"/>
          <w:lang w:val="en-US"/>
        </w:rPr>
        <w:t xml:space="preserve"> open interest in options was 35</w:t>
      </w:r>
      <w:r w:rsidRPr="004D304C">
        <w:rPr>
          <w:rFonts w:cs="Arial"/>
          <w:color w:val="595959" w:themeColor="text1" w:themeTint="A6"/>
          <w:sz w:val="18"/>
          <w:szCs w:val="18"/>
          <w:lang w:val="en-US"/>
        </w:rPr>
        <w:t>.</w:t>
      </w:r>
      <w:r w:rsidR="00C3125F" w:rsidRPr="004D304C">
        <w:rPr>
          <w:rFonts w:cs="Arial"/>
          <w:color w:val="595959" w:themeColor="text1" w:themeTint="A6"/>
          <w:sz w:val="18"/>
          <w:szCs w:val="18"/>
          <w:lang w:val="en-US"/>
        </w:rPr>
        <w:t>8</w:t>
      </w:r>
      <w:r w:rsidRPr="004D304C">
        <w:rPr>
          <w:rFonts w:cs="Arial"/>
          <w:color w:val="595959" w:themeColor="text1" w:themeTint="A6"/>
          <w:sz w:val="18"/>
          <w:szCs w:val="18"/>
          <w:lang w:val="en-US"/>
        </w:rPr>
        <w:t xml:space="preserve"> thousa</w:t>
      </w:r>
      <w:r w:rsidR="00E307A5" w:rsidRPr="004D304C">
        <w:rPr>
          <w:rFonts w:cs="Arial"/>
          <w:color w:val="595959" w:themeColor="text1" w:themeTint="A6"/>
          <w:sz w:val="18"/>
          <w:szCs w:val="18"/>
          <w:lang w:val="en-US"/>
        </w:rPr>
        <w:t>n</w:t>
      </w:r>
      <w:r w:rsidR="00C3125F" w:rsidRPr="004D304C">
        <w:rPr>
          <w:rFonts w:cs="Arial"/>
          <w:color w:val="595959" w:themeColor="text1" w:themeTint="A6"/>
          <w:sz w:val="18"/>
          <w:szCs w:val="18"/>
          <w:lang w:val="en-US"/>
        </w:rPr>
        <w:t>d options at the end of March</w:t>
      </w:r>
      <w:r w:rsidRPr="004D304C">
        <w:rPr>
          <w:rFonts w:cs="Arial"/>
          <w:color w:val="595959" w:themeColor="text1" w:themeTint="A6"/>
          <w:sz w:val="18"/>
          <w:szCs w:val="18"/>
          <w:lang w:val="en-US"/>
        </w:rPr>
        <w:t xml:space="preserve"> 2013.</w:t>
      </w:r>
    </w:p>
    <w:p w:rsidR="002C6CF6" w:rsidRPr="008C2AF9" w:rsidRDefault="002C6CF6" w:rsidP="002C6CF6">
      <w:pPr>
        <w:jc w:val="both"/>
        <w:rPr>
          <w:rFonts w:ascii="Arial" w:hAnsi="Arial" w:cs="Arial"/>
          <w:bCs/>
          <w:sz w:val="20"/>
          <w:szCs w:val="20"/>
          <w:lang w:val="en-GB"/>
        </w:rPr>
      </w:pPr>
    </w:p>
    <w:p w:rsidR="002C6CF6" w:rsidRPr="008C2AF9" w:rsidRDefault="001D31DF" w:rsidP="002C6CF6">
      <w:pPr>
        <w:jc w:val="both"/>
        <w:rPr>
          <w:rFonts w:ascii="Arial" w:eastAsia="Times New Roman" w:hAnsi="Arial" w:cs="Arial"/>
          <w:b/>
          <w:color w:val="595959" w:themeColor="text1" w:themeTint="A6"/>
          <w:sz w:val="18"/>
          <w:szCs w:val="18"/>
          <w:lang w:eastAsia="pl-PL"/>
        </w:rPr>
      </w:pPr>
      <w:r w:rsidRPr="008C2AF9">
        <w:rPr>
          <w:rFonts w:ascii="Arial" w:eastAsia="Times New Roman" w:hAnsi="Arial" w:cs="Arial"/>
          <w:b/>
          <w:color w:val="595959" w:themeColor="text1" w:themeTint="A6"/>
          <w:sz w:val="18"/>
          <w:szCs w:val="18"/>
          <w:lang w:eastAsia="pl-PL"/>
        </w:rPr>
        <w:t>Single-stock futures</w:t>
      </w:r>
    </w:p>
    <w:p w:rsidR="001D31DF" w:rsidRPr="004D304C" w:rsidRDefault="001D31DF" w:rsidP="001D31DF">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 xml:space="preserve">The volume of trading in single-stock futures was </w:t>
      </w:r>
      <w:r w:rsidR="00C3125F" w:rsidRPr="004D304C">
        <w:rPr>
          <w:rFonts w:cs="Arial"/>
          <w:color w:val="595959" w:themeColor="text1" w:themeTint="A6"/>
          <w:sz w:val="18"/>
          <w:szCs w:val="18"/>
          <w:lang w:val="en-US"/>
        </w:rPr>
        <w:t>75.1 thousand contracts in March</w:t>
      </w:r>
      <w:r w:rsidRPr="004D304C">
        <w:rPr>
          <w:rFonts w:cs="Arial"/>
          <w:color w:val="595959" w:themeColor="text1" w:themeTint="A6"/>
          <w:sz w:val="18"/>
          <w:szCs w:val="18"/>
          <w:lang w:val="en-US"/>
        </w:rPr>
        <w:t xml:space="preserve"> 2013;</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 xml:space="preserve">The number of open interest </w:t>
      </w:r>
      <w:r w:rsidR="0092521F" w:rsidRPr="004D304C">
        <w:rPr>
          <w:rFonts w:cs="Arial"/>
          <w:color w:val="595959" w:themeColor="text1" w:themeTint="A6"/>
          <w:sz w:val="18"/>
          <w:szCs w:val="18"/>
          <w:lang w:val="en-US"/>
        </w:rPr>
        <w:t xml:space="preserve">in single-stock futures was </w:t>
      </w:r>
      <w:r w:rsidR="00C3125F" w:rsidRPr="004D304C">
        <w:rPr>
          <w:rFonts w:cs="Arial"/>
          <w:color w:val="595959" w:themeColor="text1" w:themeTint="A6"/>
          <w:sz w:val="18"/>
          <w:szCs w:val="18"/>
          <w:lang w:val="en-US"/>
        </w:rPr>
        <w:t>11.4</w:t>
      </w:r>
      <w:r w:rsidRPr="004D304C">
        <w:rPr>
          <w:rFonts w:cs="Arial"/>
          <w:color w:val="595959" w:themeColor="text1" w:themeTint="A6"/>
          <w:sz w:val="18"/>
          <w:szCs w:val="18"/>
          <w:lang w:val="en-US"/>
        </w:rPr>
        <w:t xml:space="preserve"> thousand</w:t>
      </w:r>
      <w:r w:rsidR="00E307A5" w:rsidRPr="004D304C">
        <w:rPr>
          <w:rFonts w:cs="Arial"/>
          <w:color w:val="595959" w:themeColor="text1" w:themeTint="A6"/>
          <w:sz w:val="18"/>
          <w:szCs w:val="18"/>
          <w:lang w:val="en-US"/>
        </w:rPr>
        <w:t xml:space="preserve"> </w:t>
      </w:r>
      <w:r w:rsidR="00C3125F" w:rsidRPr="004D304C">
        <w:rPr>
          <w:rFonts w:cs="Arial"/>
          <w:color w:val="595959" w:themeColor="text1" w:themeTint="A6"/>
          <w:sz w:val="18"/>
          <w:szCs w:val="18"/>
          <w:lang w:val="en-US"/>
        </w:rPr>
        <w:t>contracts at the end of March</w:t>
      </w:r>
      <w:r w:rsidR="00E307A5" w:rsidRPr="004D304C">
        <w:rPr>
          <w:rFonts w:cs="Arial"/>
          <w:color w:val="595959" w:themeColor="text1" w:themeTint="A6"/>
          <w:sz w:val="18"/>
          <w:szCs w:val="18"/>
          <w:lang w:val="en-US"/>
        </w:rPr>
        <w:t xml:space="preserve"> 2013;</w:t>
      </w:r>
    </w:p>
    <w:p w:rsidR="002C6CF6"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The most traded single-s</w:t>
      </w:r>
      <w:r w:rsidR="00C3125F" w:rsidRPr="004D304C">
        <w:rPr>
          <w:rFonts w:cs="Arial"/>
          <w:color w:val="595959" w:themeColor="text1" w:themeTint="A6"/>
          <w:sz w:val="18"/>
          <w:szCs w:val="18"/>
          <w:lang w:val="en-US"/>
        </w:rPr>
        <w:t>tock futures in March</w:t>
      </w:r>
      <w:r w:rsidRPr="004D304C">
        <w:rPr>
          <w:rFonts w:cs="Arial"/>
          <w:color w:val="595959" w:themeColor="text1" w:themeTint="A6"/>
          <w:sz w:val="18"/>
          <w:szCs w:val="18"/>
          <w:lang w:val="en-US"/>
        </w:rPr>
        <w:t xml:space="preserve"> were</w:t>
      </w:r>
      <w:r w:rsidR="002C6CF6" w:rsidRPr="004D304C">
        <w:rPr>
          <w:rFonts w:cs="Arial"/>
          <w:color w:val="595959" w:themeColor="text1" w:themeTint="A6"/>
          <w:sz w:val="18"/>
          <w:szCs w:val="18"/>
          <w:lang w:val="en-US"/>
        </w:rPr>
        <w:t>:</w:t>
      </w:r>
    </w:p>
    <w:p w:rsidR="002C6CF6" w:rsidRPr="008C2AF9" w:rsidRDefault="002C6CF6" w:rsidP="002C6CF6">
      <w:pPr>
        <w:pStyle w:val="ListParagraph"/>
        <w:jc w:val="both"/>
        <w:rPr>
          <w:rFonts w:cs="Arial"/>
          <w:bCs/>
          <w:sz w:val="20"/>
          <w:szCs w:val="20"/>
          <w:lang w:val="en-GB"/>
        </w:rPr>
      </w:pPr>
    </w:p>
    <w:p w:rsidR="002C6CF6" w:rsidRPr="008C2AF9" w:rsidRDefault="001D31DF" w:rsidP="0085250D">
      <w:pPr>
        <w:ind w:left="360" w:firstLine="708"/>
        <w:jc w:val="both"/>
        <w:rPr>
          <w:rFonts w:ascii="Arial" w:eastAsia="Times New Roman" w:hAnsi="Arial" w:cs="Arial"/>
          <w:color w:val="595959" w:themeColor="text1" w:themeTint="A6"/>
          <w:sz w:val="18"/>
          <w:szCs w:val="18"/>
          <w:lang w:val="en-US" w:eastAsia="pl-PL"/>
        </w:rPr>
      </w:pPr>
      <w:r w:rsidRPr="008C2AF9">
        <w:rPr>
          <w:rFonts w:ascii="Arial" w:eastAsia="Times New Roman" w:hAnsi="Arial" w:cs="Arial"/>
          <w:color w:val="595959" w:themeColor="text1" w:themeTint="A6"/>
          <w:sz w:val="18"/>
          <w:szCs w:val="18"/>
          <w:lang w:val="en-US" w:eastAsia="pl-PL"/>
        </w:rPr>
        <w:t>No.</w:t>
      </w:r>
      <w:r w:rsidRPr="008C2AF9">
        <w:rPr>
          <w:rFonts w:ascii="Arial" w:eastAsia="Times New Roman" w:hAnsi="Arial" w:cs="Arial"/>
          <w:color w:val="595959" w:themeColor="text1" w:themeTint="A6"/>
          <w:sz w:val="18"/>
          <w:szCs w:val="18"/>
          <w:lang w:val="en-US" w:eastAsia="pl-PL"/>
        </w:rPr>
        <w:tab/>
        <w:t>Underlying</w:t>
      </w:r>
      <w:r w:rsidR="00E307A5" w:rsidRPr="008C2AF9">
        <w:rPr>
          <w:rFonts w:ascii="Arial" w:eastAsia="Times New Roman" w:hAnsi="Arial" w:cs="Arial"/>
          <w:color w:val="595959" w:themeColor="text1" w:themeTint="A6"/>
          <w:sz w:val="18"/>
          <w:szCs w:val="18"/>
          <w:lang w:val="en-US" w:eastAsia="pl-PL"/>
        </w:rPr>
        <w:tab/>
      </w:r>
      <w:r w:rsidR="008C2AF9" w:rsidRPr="008C2AF9">
        <w:rPr>
          <w:rFonts w:ascii="Arial" w:eastAsia="Times New Roman" w:hAnsi="Arial" w:cs="Arial"/>
          <w:color w:val="595959" w:themeColor="text1" w:themeTint="A6"/>
          <w:sz w:val="18"/>
          <w:szCs w:val="18"/>
          <w:lang w:val="en-US" w:eastAsia="pl-PL"/>
        </w:rPr>
        <w:tab/>
      </w:r>
      <w:r w:rsidR="00C3125F" w:rsidRPr="008C2AF9">
        <w:rPr>
          <w:rFonts w:ascii="Arial" w:eastAsia="Times New Roman" w:hAnsi="Arial" w:cs="Arial"/>
          <w:color w:val="595959" w:themeColor="text1" w:themeTint="A6"/>
          <w:sz w:val="18"/>
          <w:szCs w:val="18"/>
          <w:lang w:val="en-US" w:eastAsia="pl-PL"/>
        </w:rPr>
        <w:t>Trading volume (#) in March</w:t>
      </w:r>
      <w:r w:rsidRPr="008C2AF9">
        <w:rPr>
          <w:rFonts w:ascii="Arial" w:eastAsia="Times New Roman" w:hAnsi="Arial" w:cs="Arial"/>
          <w:color w:val="595959" w:themeColor="text1" w:themeTint="A6"/>
          <w:sz w:val="18"/>
          <w:szCs w:val="18"/>
          <w:lang w:val="en-US" w:eastAsia="pl-PL"/>
        </w:rPr>
        <w:t xml:space="preserve"> </w:t>
      </w:r>
      <w:r w:rsidR="0085250D" w:rsidRPr="008C2AF9">
        <w:rPr>
          <w:rFonts w:ascii="Arial" w:eastAsia="Times New Roman" w:hAnsi="Arial" w:cs="Arial"/>
          <w:color w:val="595959" w:themeColor="text1" w:themeTint="A6"/>
          <w:sz w:val="18"/>
          <w:szCs w:val="18"/>
          <w:lang w:val="en-US" w:eastAsia="pl-PL"/>
        </w:rPr>
        <w:t>2013</w:t>
      </w:r>
      <w:r w:rsidRPr="008C2AF9">
        <w:rPr>
          <w:rFonts w:ascii="Arial" w:eastAsia="Times New Roman" w:hAnsi="Arial" w:cs="Arial"/>
          <w:color w:val="595959" w:themeColor="text1" w:themeTint="A6"/>
          <w:sz w:val="18"/>
          <w:szCs w:val="18"/>
          <w:lang w:val="en-US" w:eastAsia="pl-PL"/>
        </w:rPr>
        <w:t xml:space="preserve"> </w:t>
      </w:r>
    </w:p>
    <w:p w:rsidR="00C3125F" w:rsidRPr="008C2AF9" w:rsidRDefault="00C3125F" w:rsidP="008C2AF9">
      <w:pPr>
        <w:pStyle w:val="ListParagraph"/>
        <w:numPr>
          <w:ilvl w:val="0"/>
          <w:numId w:val="31"/>
        </w:numPr>
        <w:jc w:val="both"/>
        <w:rPr>
          <w:rFonts w:cs="Arial"/>
          <w:color w:val="595959" w:themeColor="text1" w:themeTint="A6"/>
          <w:sz w:val="18"/>
          <w:szCs w:val="18"/>
        </w:rPr>
      </w:pPr>
      <w:r w:rsidRPr="008C2AF9">
        <w:rPr>
          <w:rFonts w:cs="Arial"/>
          <w:color w:val="595959" w:themeColor="text1" w:themeTint="A6"/>
          <w:sz w:val="18"/>
          <w:szCs w:val="18"/>
        </w:rPr>
        <w:t xml:space="preserve">PKO BP SA     </w:t>
      </w:r>
      <w:r w:rsidRPr="008C2AF9">
        <w:rPr>
          <w:rFonts w:cs="Arial"/>
          <w:color w:val="595959" w:themeColor="text1" w:themeTint="A6"/>
          <w:sz w:val="18"/>
          <w:szCs w:val="18"/>
        </w:rPr>
        <w:tab/>
        <w:t xml:space="preserve">  </w:t>
      </w:r>
      <w:r w:rsidRPr="008C2AF9">
        <w:rPr>
          <w:rFonts w:cs="Arial"/>
          <w:color w:val="595959" w:themeColor="text1" w:themeTint="A6"/>
          <w:sz w:val="18"/>
          <w:szCs w:val="18"/>
        </w:rPr>
        <w:tab/>
        <w:t>19 030</w:t>
      </w:r>
    </w:p>
    <w:p w:rsidR="00C3125F" w:rsidRPr="008C2AF9" w:rsidRDefault="008C2AF9" w:rsidP="008C2AF9">
      <w:pPr>
        <w:pStyle w:val="ListParagraph"/>
        <w:numPr>
          <w:ilvl w:val="0"/>
          <w:numId w:val="31"/>
        </w:numPr>
        <w:jc w:val="both"/>
        <w:rPr>
          <w:rFonts w:cs="Arial"/>
          <w:color w:val="595959" w:themeColor="text1" w:themeTint="A6"/>
          <w:sz w:val="18"/>
          <w:szCs w:val="18"/>
          <w:lang w:val="en-US"/>
        </w:rPr>
      </w:pPr>
      <w:r w:rsidRPr="008C2AF9">
        <w:rPr>
          <w:rFonts w:cs="Arial"/>
          <w:color w:val="595959" w:themeColor="text1" w:themeTint="A6"/>
          <w:sz w:val="18"/>
          <w:szCs w:val="18"/>
          <w:lang w:val="en-US"/>
        </w:rPr>
        <w:t>KGHM SA</w:t>
      </w:r>
      <w:r w:rsidRPr="008C2AF9">
        <w:rPr>
          <w:rFonts w:cs="Arial"/>
          <w:color w:val="595959" w:themeColor="text1" w:themeTint="A6"/>
          <w:sz w:val="18"/>
          <w:szCs w:val="18"/>
          <w:lang w:val="en-US"/>
        </w:rPr>
        <w:tab/>
      </w:r>
      <w:r w:rsidRPr="008C2AF9">
        <w:rPr>
          <w:rFonts w:cs="Arial"/>
          <w:color w:val="595959" w:themeColor="text1" w:themeTint="A6"/>
          <w:sz w:val="18"/>
          <w:szCs w:val="18"/>
          <w:lang w:val="en-US"/>
        </w:rPr>
        <w:tab/>
      </w:r>
      <w:r w:rsidR="00C3125F" w:rsidRPr="008C2AF9">
        <w:rPr>
          <w:rFonts w:cs="Arial"/>
          <w:color w:val="595959" w:themeColor="text1" w:themeTint="A6"/>
          <w:sz w:val="18"/>
          <w:szCs w:val="18"/>
          <w:lang w:val="en-US"/>
        </w:rPr>
        <w:t>17 991</w:t>
      </w:r>
    </w:p>
    <w:p w:rsidR="00C3125F" w:rsidRPr="008C2AF9" w:rsidRDefault="00C3125F" w:rsidP="008C2AF9">
      <w:pPr>
        <w:pStyle w:val="ListParagraph"/>
        <w:numPr>
          <w:ilvl w:val="0"/>
          <w:numId w:val="31"/>
        </w:numPr>
        <w:jc w:val="both"/>
        <w:rPr>
          <w:rFonts w:cs="Arial"/>
          <w:color w:val="595959" w:themeColor="text1" w:themeTint="A6"/>
          <w:sz w:val="18"/>
          <w:szCs w:val="18"/>
          <w:lang w:val="en-US"/>
        </w:rPr>
      </w:pPr>
      <w:r w:rsidRPr="008C2AF9">
        <w:rPr>
          <w:rFonts w:cs="Arial"/>
          <w:color w:val="595959" w:themeColor="text1" w:themeTint="A6"/>
          <w:sz w:val="18"/>
          <w:szCs w:val="18"/>
          <w:lang w:val="en-US"/>
        </w:rPr>
        <w:t>PKN ORLEN SA</w:t>
      </w:r>
      <w:r w:rsidRPr="008C2AF9">
        <w:rPr>
          <w:rFonts w:cs="Arial"/>
          <w:color w:val="595959" w:themeColor="text1" w:themeTint="A6"/>
          <w:sz w:val="18"/>
          <w:szCs w:val="18"/>
          <w:lang w:val="en-US"/>
        </w:rPr>
        <w:tab/>
        <w:t xml:space="preserve"> </w:t>
      </w:r>
      <w:r w:rsidRPr="008C2AF9">
        <w:rPr>
          <w:rFonts w:cs="Arial"/>
          <w:color w:val="595959" w:themeColor="text1" w:themeTint="A6"/>
          <w:sz w:val="18"/>
          <w:szCs w:val="18"/>
          <w:lang w:val="en-US"/>
        </w:rPr>
        <w:tab/>
        <w:t>14 555</w:t>
      </w:r>
      <w:r w:rsidRPr="008C2AF9">
        <w:rPr>
          <w:rFonts w:cs="Arial"/>
          <w:color w:val="595959" w:themeColor="text1" w:themeTint="A6"/>
          <w:sz w:val="18"/>
          <w:szCs w:val="18"/>
          <w:lang w:val="en-US"/>
        </w:rPr>
        <w:tab/>
      </w:r>
    </w:p>
    <w:p w:rsidR="00C3125F" w:rsidRPr="008C2AF9" w:rsidRDefault="008C2AF9" w:rsidP="008C2AF9">
      <w:pPr>
        <w:pStyle w:val="ListParagraph"/>
        <w:numPr>
          <w:ilvl w:val="0"/>
          <w:numId w:val="31"/>
        </w:numPr>
        <w:jc w:val="both"/>
        <w:rPr>
          <w:rFonts w:cs="Arial"/>
          <w:color w:val="595959" w:themeColor="text1" w:themeTint="A6"/>
          <w:sz w:val="18"/>
          <w:szCs w:val="18"/>
          <w:lang w:val="en-US"/>
        </w:rPr>
      </w:pPr>
      <w:r>
        <w:rPr>
          <w:rFonts w:cs="Arial"/>
          <w:color w:val="595959" w:themeColor="text1" w:themeTint="A6"/>
          <w:sz w:val="18"/>
          <w:szCs w:val="18"/>
          <w:lang w:val="en-US"/>
        </w:rPr>
        <w:t>GRUPA LOTOS SA</w:t>
      </w:r>
      <w:r>
        <w:rPr>
          <w:rFonts w:cs="Arial"/>
          <w:color w:val="595959" w:themeColor="text1" w:themeTint="A6"/>
          <w:sz w:val="18"/>
          <w:szCs w:val="18"/>
          <w:lang w:val="en-US"/>
        </w:rPr>
        <w:tab/>
      </w:r>
      <w:r w:rsidR="00C3125F" w:rsidRPr="008C2AF9">
        <w:rPr>
          <w:rFonts w:cs="Arial"/>
          <w:color w:val="595959" w:themeColor="text1" w:themeTint="A6"/>
          <w:sz w:val="18"/>
          <w:szCs w:val="18"/>
          <w:lang w:val="en-US"/>
        </w:rPr>
        <w:t xml:space="preserve"> </w:t>
      </w:r>
      <w:r>
        <w:rPr>
          <w:rFonts w:cs="Arial"/>
          <w:color w:val="595959" w:themeColor="text1" w:themeTint="A6"/>
          <w:sz w:val="18"/>
          <w:szCs w:val="18"/>
          <w:lang w:val="en-US"/>
        </w:rPr>
        <w:t xml:space="preserve">  </w:t>
      </w:r>
      <w:r w:rsidR="00C3125F" w:rsidRPr="008C2AF9">
        <w:rPr>
          <w:rFonts w:cs="Arial"/>
          <w:color w:val="595959" w:themeColor="text1" w:themeTint="A6"/>
          <w:sz w:val="18"/>
          <w:szCs w:val="18"/>
          <w:lang w:val="en-US"/>
        </w:rPr>
        <w:t>5 971</w:t>
      </w:r>
    </w:p>
    <w:p w:rsidR="002C6CF6" w:rsidRPr="008C2AF9" w:rsidRDefault="00C3125F" w:rsidP="008C2AF9">
      <w:pPr>
        <w:pStyle w:val="ListParagraph"/>
        <w:numPr>
          <w:ilvl w:val="0"/>
          <w:numId w:val="31"/>
        </w:numPr>
        <w:jc w:val="both"/>
        <w:rPr>
          <w:rFonts w:cs="Arial"/>
          <w:color w:val="595959" w:themeColor="text1" w:themeTint="A6"/>
          <w:sz w:val="18"/>
          <w:szCs w:val="18"/>
          <w:lang w:val="en-US"/>
        </w:rPr>
      </w:pPr>
      <w:r w:rsidRPr="008C2AF9">
        <w:rPr>
          <w:rFonts w:cs="Arial"/>
          <w:color w:val="595959" w:themeColor="text1" w:themeTint="A6"/>
          <w:sz w:val="18"/>
          <w:szCs w:val="18"/>
          <w:lang w:val="en-US"/>
        </w:rPr>
        <w:t xml:space="preserve">TPSA                </w:t>
      </w:r>
      <w:r w:rsidRPr="008C2AF9">
        <w:rPr>
          <w:rFonts w:cs="Arial"/>
          <w:color w:val="595959" w:themeColor="text1" w:themeTint="A6"/>
          <w:sz w:val="18"/>
          <w:szCs w:val="18"/>
          <w:lang w:val="en-US"/>
        </w:rPr>
        <w:tab/>
      </w:r>
      <w:r w:rsidRPr="008C2AF9">
        <w:rPr>
          <w:rFonts w:cs="Arial"/>
          <w:color w:val="595959" w:themeColor="text1" w:themeTint="A6"/>
          <w:sz w:val="18"/>
          <w:szCs w:val="18"/>
          <w:lang w:val="en-US"/>
        </w:rPr>
        <w:tab/>
        <w:t xml:space="preserve"> </w:t>
      </w:r>
      <w:r w:rsidR="008C2AF9">
        <w:rPr>
          <w:rFonts w:cs="Arial"/>
          <w:color w:val="595959" w:themeColor="text1" w:themeTint="A6"/>
          <w:sz w:val="18"/>
          <w:szCs w:val="18"/>
          <w:lang w:val="en-US"/>
        </w:rPr>
        <w:t xml:space="preserve">  </w:t>
      </w:r>
      <w:r w:rsidRPr="008C2AF9">
        <w:rPr>
          <w:rFonts w:cs="Arial"/>
          <w:color w:val="595959" w:themeColor="text1" w:themeTint="A6"/>
          <w:sz w:val="18"/>
          <w:szCs w:val="18"/>
          <w:lang w:val="en-US"/>
        </w:rPr>
        <w:t>4 855</w:t>
      </w:r>
    </w:p>
    <w:p w:rsidR="0092521F" w:rsidRPr="008C2AF9" w:rsidRDefault="0092521F" w:rsidP="002C6CF6">
      <w:pPr>
        <w:jc w:val="both"/>
        <w:rPr>
          <w:rFonts w:ascii="Arial" w:hAnsi="Arial" w:cs="Arial"/>
          <w:b/>
          <w:bCs/>
          <w:sz w:val="20"/>
          <w:szCs w:val="20"/>
          <w:lang w:val="en-GB"/>
        </w:rPr>
      </w:pPr>
    </w:p>
    <w:p w:rsidR="002C6CF6" w:rsidRPr="008C2AF9" w:rsidRDefault="001D31DF" w:rsidP="002C6CF6">
      <w:pPr>
        <w:jc w:val="both"/>
        <w:rPr>
          <w:rFonts w:ascii="Arial" w:eastAsia="Times New Roman" w:hAnsi="Arial" w:cs="Arial"/>
          <w:b/>
          <w:color w:val="595959" w:themeColor="text1" w:themeTint="A6"/>
          <w:sz w:val="18"/>
          <w:szCs w:val="18"/>
          <w:lang w:eastAsia="pl-PL"/>
        </w:rPr>
      </w:pPr>
      <w:r w:rsidRPr="008C2AF9">
        <w:rPr>
          <w:rFonts w:ascii="Arial" w:eastAsia="Times New Roman" w:hAnsi="Arial" w:cs="Arial"/>
          <w:b/>
          <w:color w:val="595959" w:themeColor="text1" w:themeTint="A6"/>
          <w:sz w:val="18"/>
          <w:szCs w:val="18"/>
          <w:lang w:eastAsia="pl-PL"/>
        </w:rPr>
        <w:t>Currency futures</w:t>
      </w:r>
    </w:p>
    <w:p w:rsidR="002C6CF6" w:rsidRPr="008C2AF9" w:rsidRDefault="001D31DF" w:rsidP="002C6CF6">
      <w:pPr>
        <w:pStyle w:val="ListParagraph"/>
        <w:numPr>
          <w:ilvl w:val="0"/>
          <w:numId w:val="27"/>
        </w:numPr>
        <w:jc w:val="both"/>
        <w:rPr>
          <w:rFonts w:cs="Arial"/>
          <w:color w:val="595959" w:themeColor="text1" w:themeTint="A6"/>
          <w:sz w:val="18"/>
          <w:szCs w:val="18"/>
          <w:lang w:val="en-US"/>
        </w:rPr>
      </w:pPr>
      <w:r w:rsidRPr="008C2AF9">
        <w:rPr>
          <w:rFonts w:cs="Arial"/>
          <w:color w:val="595959" w:themeColor="text1" w:themeTint="A6"/>
          <w:sz w:val="18"/>
          <w:szCs w:val="18"/>
          <w:lang w:val="en-US"/>
        </w:rPr>
        <w:t xml:space="preserve">The volume of trading in currency futures was </w:t>
      </w:r>
      <w:r w:rsidR="00C3125F" w:rsidRPr="008C2AF9">
        <w:rPr>
          <w:rFonts w:cs="Arial"/>
          <w:color w:val="595959" w:themeColor="text1" w:themeTint="A6"/>
          <w:sz w:val="18"/>
          <w:szCs w:val="18"/>
          <w:lang w:val="en-US"/>
        </w:rPr>
        <w:t>241.2</w:t>
      </w:r>
      <w:r w:rsidR="008C2AF9" w:rsidRPr="008C2AF9">
        <w:rPr>
          <w:rFonts w:cs="Arial"/>
          <w:color w:val="595959" w:themeColor="text1" w:themeTint="A6"/>
          <w:sz w:val="18"/>
          <w:szCs w:val="18"/>
          <w:lang w:val="en-US"/>
        </w:rPr>
        <w:t xml:space="preserve"> thousand contracts in</w:t>
      </w:r>
      <w:r w:rsidR="00E307A5" w:rsidRPr="008C2AF9">
        <w:rPr>
          <w:rFonts w:cs="Arial"/>
          <w:color w:val="595959" w:themeColor="text1" w:themeTint="A6"/>
          <w:sz w:val="18"/>
          <w:szCs w:val="18"/>
          <w:lang w:val="en-US"/>
        </w:rPr>
        <w:t xml:space="preserve"> </w:t>
      </w:r>
      <w:r w:rsidR="00C3125F" w:rsidRPr="008C2AF9">
        <w:rPr>
          <w:rFonts w:cs="Arial"/>
          <w:color w:val="595959" w:themeColor="text1" w:themeTint="A6"/>
          <w:sz w:val="18"/>
          <w:szCs w:val="18"/>
          <w:lang w:val="en-US"/>
        </w:rPr>
        <w:t>March</w:t>
      </w:r>
      <w:r w:rsidRPr="008C2AF9">
        <w:rPr>
          <w:rFonts w:cs="Arial"/>
          <w:color w:val="595959" w:themeColor="text1" w:themeTint="A6"/>
          <w:sz w:val="18"/>
          <w:szCs w:val="18"/>
          <w:lang w:val="en-US"/>
        </w:rPr>
        <w:t xml:space="preserve"> 2013</w:t>
      </w:r>
      <w:r w:rsidR="00D83470" w:rsidRPr="008C2AF9">
        <w:rPr>
          <w:rFonts w:cs="Arial"/>
          <w:color w:val="595959" w:themeColor="text1" w:themeTint="A6"/>
          <w:sz w:val="18"/>
          <w:szCs w:val="18"/>
          <w:lang w:val="en-US"/>
        </w:rPr>
        <w:t>*</w:t>
      </w:r>
      <w:r w:rsidR="002C6CF6" w:rsidRPr="008C2AF9">
        <w:rPr>
          <w:rFonts w:cs="Arial"/>
          <w:color w:val="595959" w:themeColor="text1" w:themeTint="A6"/>
          <w:sz w:val="18"/>
          <w:szCs w:val="18"/>
          <w:lang w:val="en-US"/>
        </w:rPr>
        <w:t>;</w:t>
      </w:r>
    </w:p>
    <w:p w:rsidR="001D31DF" w:rsidRPr="004D304C" w:rsidRDefault="001D31DF" w:rsidP="002C6CF6">
      <w:pPr>
        <w:pStyle w:val="ListParagraph"/>
        <w:numPr>
          <w:ilvl w:val="0"/>
          <w:numId w:val="27"/>
        </w:numPr>
        <w:jc w:val="both"/>
        <w:rPr>
          <w:rFonts w:cs="Arial"/>
          <w:color w:val="595959" w:themeColor="text1" w:themeTint="A6"/>
          <w:sz w:val="18"/>
          <w:szCs w:val="18"/>
          <w:lang w:val="en-US"/>
        </w:rPr>
      </w:pPr>
      <w:r w:rsidRPr="004D304C">
        <w:rPr>
          <w:rFonts w:cs="Arial"/>
          <w:color w:val="595959" w:themeColor="text1" w:themeTint="A6"/>
          <w:sz w:val="18"/>
          <w:szCs w:val="18"/>
          <w:lang w:val="en-US"/>
        </w:rPr>
        <w:t xml:space="preserve">The most traded currency futures in </w:t>
      </w:r>
      <w:r w:rsidR="00C3125F" w:rsidRPr="004D304C">
        <w:rPr>
          <w:rFonts w:cs="Arial"/>
          <w:color w:val="595959" w:themeColor="text1" w:themeTint="A6"/>
          <w:sz w:val="18"/>
          <w:szCs w:val="18"/>
          <w:lang w:val="en-US"/>
        </w:rPr>
        <w:t>March</w:t>
      </w:r>
      <w:r w:rsidR="00A07526" w:rsidRPr="004D304C">
        <w:rPr>
          <w:rFonts w:cs="Arial"/>
          <w:color w:val="595959" w:themeColor="text1" w:themeTint="A6"/>
          <w:sz w:val="18"/>
          <w:szCs w:val="18"/>
          <w:lang w:val="en-US"/>
        </w:rPr>
        <w:t xml:space="preserve"> 2013</w:t>
      </w:r>
      <w:r w:rsidRPr="004D304C">
        <w:rPr>
          <w:rFonts w:cs="Arial"/>
          <w:color w:val="595959" w:themeColor="text1" w:themeTint="A6"/>
          <w:sz w:val="18"/>
          <w:szCs w:val="18"/>
          <w:lang w:val="en-US"/>
        </w:rPr>
        <w:t xml:space="preserve"> were USD/PLN futures. The volume of </w:t>
      </w:r>
      <w:r w:rsidR="00C3125F" w:rsidRPr="004D304C">
        <w:rPr>
          <w:rFonts w:cs="Arial"/>
          <w:color w:val="595959" w:themeColor="text1" w:themeTint="A6"/>
          <w:sz w:val="18"/>
          <w:szCs w:val="18"/>
          <w:lang w:val="en-US"/>
        </w:rPr>
        <w:t>trading in USD/PLN futures was 217</w:t>
      </w:r>
      <w:r w:rsidR="00E307A5" w:rsidRPr="004D304C">
        <w:rPr>
          <w:rFonts w:cs="Arial"/>
          <w:color w:val="595959" w:themeColor="text1" w:themeTint="A6"/>
          <w:sz w:val="18"/>
          <w:szCs w:val="18"/>
          <w:lang w:val="en-US"/>
        </w:rPr>
        <w:t>.7</w:t>
      </w:r>
      <w:r w:rsidRPr="004D304C">
        <w:rPr>
          <w:rFonts w:cs="Arial"/>
          <w:color w:val="595959" w:themeColor="text1" w:themeTint="A6"/>
          <w:sz w:val="18"/>
          <w:szCs w:val="18"/>
          <w:lang w:val="en-US"/>
        </w:rPr>
        <w:t xml:space="preserve"> tho</w:t>
      </w:r>
      <w:r w:rsidR="00A07526" w:rsidRPr="004D304C">
        <w:rPr>
          <w:rFonts w:cs="Arial"/>
          <w:color w:val="595959" w:themeColor="text1" w:themeTint="A6"/>
          <w:sz w:val="18"/>
          <w:szCs w:val="18"/>
          <w:lang w:val="en-US"/>
        </w:rPr>
        <w:t>us</w:t>
      </w:r>
      <w:r w:rsidR="00C3125F" w:rsidRPr="004D304C">
        <w:rPr>
          <w:rFonts w:cs="Arial"/>
          <w:color w:val="595959" w:themeColor="text1" w:themeTint="A6"/>
          <w:sz w:val="18"/>
          <w:szCs w:val="18"/>
          <w:lang w:val="en-US"/>
        </w:rPr>
        <w:t>and contracts, representing 90.3</w:t>
      </w:r>
      <w:r w:rsidRPr="004D304C">
        <w:rPr>
          <w:rFonts w:cs="Arial"/>
          <w:color w:val="595959" w:themeColor="text1" w:themeTint="A6"/>
          <w:sz w:val="18"/>
          <w:szCs w:val="18"/>
          <w:lang w:val="en-US"/>
        </w:rPr>
        <w:t>% of the volume of trading in all currency futures;</w:t>
      </w:r>
    </w:p>
    <w:p w:rsidR="001D31DF" w:rsidRPr="008C2AF9" w:rsidRDefault="001D31DF" w:rsidP="002C6CF6">
      <w:pPr>
        <w:pStyle w:val="ListParagraph"/>
        <w:numPr>
          <w:ilvl w:val="0"/>
          <w:numId w:val="27"/>
        </w:numPr>
        <w:jc w:val="both"/>
        <w:rPr>
          <w:rFonts w:cs="Arial"/>
          <w:color w:val="595959" w:themeColor="text1" w:themeTint="A6"/>
          <w:sz w:val="18"/>
          <w:szCs w:val="18"/>
          <w:lang w:val="en-US"/>
        </w:rPr>
      </w:pPr>
      <w:r w:rsidRPr="008C2AF9">
        <w:rPr>
          <w:rFonts w:cs="Arial"/>
          <w:color w:val="595959" w:themeColor="text1" w:themeTint="A6"/>
          <w:sz w:val="18"/>
          <w:szCs w:val="18"/>
          <w:lang w:val="en-US"/>
        </w:rPr>
        <w:t xml:space="preserve">The number of open interest in currency futures was </w:t>
      </w:r>
      <w:r w:rsidR="008C2AF9" w:rsidRPr="008C2AF9">
        <w:rPr>
          <w:rFonts w:cs="Arial"/>
          <w:color w:val="595959" w:themeColor="text1" w:themeTint="A6"/>
          <w:sz w:val="18"/>
          <w:szCs w:val="18"/>
          <w:lang w:val="en-US"/>
        </w:rPr>
        <w:t>36</w:t>
      </w:r>
      <w:r w:rsidR="008C2AF9">
        <w:rPr>
          <w:rFonts w:cs="Arial"/>
          <w:color w:val="595959" w:themeColor="text1" w:themeTint="A6"/>
          <w:sz w:val="18"/>
          <w:szCs w:val="18"/>
          <w:lang w:val="en-US"/>
        </w:rPr>
        <w:t>.7</w:t>
      </w:r>
      <w:r w:rsidRPr="008C2AF9">
        <w:rPr>
          <w:rFonts w:cs="Arial"/>
          <w:color w:val="595959" w:themeColor="text1" w:themeTint="A6"/>
          <w:sz w:val="18"/>
          <w:szCs w:val="18"/>
          <w:lang w:val="en-US"/>
        </w:rPr>
        <w:t xml:space="preserve"> thousand</w:t>
      </w:r>
      <w:r w:rsidR="00E307A5" w:rsidRPr="008C2AF9">
        <w:rPr>
          <w:rFonts w:cs="Arial"/>
          <w:color w:val="595959" w:themeColor="text1" w:themeTint="A6"/>
          <w:sz w:val="18"/>
          <w:szCs w:val="18"/>
          <w:lang w:val="en-US"/>
        </w:rPr>
        <w:t xml:space="preserve"> </w:t>
      </w:r>
      <w:r w:rsidR="006B67F2" w:rsidRPr="008C2AF9">
        <w:rPr>
          <w:rFonts w:cs="Arial"/>
          <w:color w:val="595959" w:themeColor="text1" w:themeTint="A6"/>
          <w:sz w:val="18"/>
          <w:szCs w:val="18"/>
          <w:lang w:val="en-US"/>
        </w:rPr>
        <w:t>contracts at the end of March</w:t>
      </w:r>
      <w:r w:rsidRPr="008C2AF9">
        <w:rPr>
          <w:rFonts w:cs="Arial"/>
          <w:color w:val="595959" w:themeColor="text1" w:themeTint="A6"/>
          <w:sz w:val="18"/>
          <w:szCs w:val="18"/>
          <w:lang w:val="en-US"/>
        </w:rPr>
        <w:t xml:space="preserve"> 2013.</w:t>
      </w:r>
    </w:p>
    <w:p w:rsidR="002C6CF6" w:rsidRPr="008C2AF9" w:rsidRDefault="002C6CF6" w:rsidP="002C6CF6">
      <w:pPr>
        <w:rPr>
          <w:rFonts w:ascii="Arial" w:hAnsi="Arial" w:cs="Arial"/>
          <w:bCs/>
          <w:sz w:val="20"/>
          <w:szCs w:val="20"/>
          <w:lang w:val="en-GB"/>
        </w:rPr>
      </w:pPr>
    </w:p>
    <w:p w:rsidR="002C6CF6" w:rsidRPr="004D304C" w:rsidRDefault="001D31DF" w:rsidP="008C2AF9">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For more statistics, see Table 1 and Figures 1 and 2 below.</w:t>
      </w:r>
    </w:p>
    <w:p w:rsidR="00590163" w:rsidRPr="008C2AF9" w:rsidRDefault="00E307A5" w:rsidP="008C2AF9">
      <w:pPr>
        <w:jc w:val="both"/>
        <w:rPr>
          <w:rFonts w:ascii="Arial" w:eastAsia="Times New Roman" w:hAnsi="Arial" w:cs="Arial"/>
          <w:color w:val="595959" w:themeColor="text1" w:themeTint="A6"/>
          <w:sz w:val="18"/>
          <w:szCs w:val="18"/>
          <w:lang w:val="en-US" w:eastAsia="pl-PL"/>
        </w:rPr>
      </w:pPr>
      <w:r w:rsidRPr="008C2AF9">
        <w:rPr>
          <w:rFonts w:ascii="Arial" w:eastAsia="Times New Roman" w:hAnsi="Arial" w:cs="Arial"/>
          <w:color w:val="595959" w:themeColor="text1" w:themeTint="A6"/>
          <w:sz w:val="18"/>
          <w:szCs w:val="18"/>
          <w:lang w:val="en-US" w:eastAsia="pl-PL"/>
        </w:rPr>
        <w:lastRenderedPageBreak/>
        <w:t>*</w:t>
      </w:r>
      <w:r w:rsidR="00920FE9" w:rsidRPr="008C2AF9">
        <w:rPr>
          <w:rFonts w:ascii="Arial" w:eastAsia="Times New Roman" w:hAnsi="Arial" w:cs="Arial"/>
          <w:color w:val="595959" w:themeColor="text1" w:themeTint="A6"/>
          <w:sz w:val="18"/>
          <w:szCs w:val="18"/>
          <w:lang w:val="en-US" w:eastAsia="pl-PL"/>
        </w:rPr>
        <w:t xml:space="preserve">All figures concerning trade in derivatives include the change in the standard specification of currency </w:t>
      </w:r>
      <w:r w:rsidR="00052D57" w:rsidRPr="008C2AF9">
        <w:rPr>
          <w:rFonts w:ascii="Arial" w:eastAsia="Times New Roman" w:hAnsi="Arial" w:cs="Arial"/>
          <w:color w:val="595959" w:themeColor="text1" w:themeTint="A6"/>
          <w:sz w:val="18"/>
          <w:szCs w:val="18"/>
          <w:lang w:val="en-US" w:eastAsia="pl-PL"/>
        </w:rPr>
        <w:t>futures contracts as</w:t>
      </w:r>
      <w:r w:rsidR="00F163BE" w:rsidRPr="008C2AF9">
        <w:rPr>
          <w:rFonts w:ascii="Arial" w:eastAsia="Times New Roman" w:hAnsi="Arial" w:cs="Arial"/>
          <w:color w:val="595959" w:themeColor="text1" w:themeTint="A6"/>
          <w:sz w:val="18"/>
          <w:szCs w:val="18"/>
          <w:lang w:val="en-US" w:eastAsia="pl-PL"/>
        </w:rPr>
        <w:t xml:space="preserve"> </w:t>
      </w:r>
      <w:r w:rsidR="00052D57" w:rsidRPr="008C2AF9">
        <w:rPr>
          <w:rFonts w:ascii="Arial" w:eastAsia="Times New Roman" w:hAnsi="Arial" w:cs="Arial"/>
          <w:color w:val="595959" w:themeColor="text1" w:themeTint="A6"/>
          <w:sz w:val="18"/>
          <w:szCs w:val="18"/>
          <w:lang w:val="en-US" w:eastAsia="pl-PL"/>
        </w:rPr>
        <w:t>of 1 May 2012 whereby the size of such contracts was divided by 10.</w:t>
      </w:r>
    </w:p>
    <w:p w:rsidR="008C2AF9" w:rsidRPr="004D304C" w:rsidRDefault="008C2AF9" w:rsidP="008C2AF9">
      <w:pPr>
        <w:jc w:val="both"/>
        <w:rPr>
          <w:rFonts w:ascii="Arial" w:eastAsia="Times New Roman" w:hAnsi="Arial" w:cs="Arial"/>
          <w:color w:val="595959" w:themeColor="text1" w:themeTint="A6"/>
          <w:sz w:val="18"/>
          <w:szCs w:val="18"/>
          <w:lang w:val="en-US" w:eastAsia="pl-PL"/>
        </w:rPr>
      </w:pPr>
    </w:p>
    <w:p w:rsidR="002C6CF6" w:rsidRPr="004D304C" w:rsidRDefault="002C6CF6" w:rsidP="008C2AF9">
      <w:pPr>
        <w:jc w:val="center"/>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 # #</w:t>
      </w:r>
    </w:p>
    <w:p w:rsidR="008C2AF9" w:rsidRPr="004D304C" w:rsidRDefault="008C2AF9" w:rsidP="002C6CF6">
      <w:pPr>
        <w:jc w:val="both"/>
        <w:rPr>
          <w:rFonts w:ascii="Arial" w:eastAsia="Times New Roman" w:hAnsi="Arial" w:cs="Arial"/>
          <w:color w:val="595959" w:themeColor="text1" w:themeTint="A6"/>
          <w:sz w:val="18"/>
          <w:szCs w:val="18"/>
          <w:lang w:val="en-US" w:eastAsia="pl-PL"/>
        </w:rPr>
      </w:pPr>
    </w:p>
    <w:p w:rsidR="001D31DF" w:rsidRPr="004D304C" w:rsidRDefault="001D31DF" w:rsidP="002C6CF6">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Derivative instruments are the most effective tool which can be used to manage specific risks. Derivatives based on indices and single stocks can be used to manage market risk, for instance to hedge an existing equities portfolio against a decrease in value. Currency futures can be used to hedge against the risk of disadvantageous changes of an exchange rate. This means that derivatives can be used for instance by entities which hold specific currency positions with respect to the following exchange rates: USD/PLN, EUR/PLN, CHF/PLN. Particularly important are options, which provide great flexibility in building hedging strategies. The WSE lists options which expire on four different dates; many series of call and put options with different strike prices are available for each expiry date. Options can be used to build hedging strategies according to different market scenarios and at a different cost of hedging.</w:t>
      </w:r>
    </w:p>
    <w:p w:rsidR="001D31DF" w:rsidRPr="004D304C" w:rsidRDefault="001D31DF" w:rsidP="001D31DF">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 xml:space="preserve">Derivative instruments are also an effective investment tool. Derivatives can be profitable when the value of the underlying instrument increases or decreases. Investments in derivatives involve a high leverage. Again, options are particularly important due to their </w:t>
      </w:r>
      <w:r w:rsidR="004D6C69" w:rsidRPr="004D304C">
        <w:rPr>
          <w:rFonts w:ascii="Arial" w:eastAsia="Times New Roman" w:hAnsi="Arial" w:cs="Arial"/>
          <w:color w:val="595959" w:themeColor="text1" w:themeTint="A6"/>
          <w:sz w:val="18"/>
          <w:szCs w:val="18"/>
          <w:lang w:val="en-US" w:eastAsia="pl-PL"/>
        </w:rPr>
        <w:t>various applications</w:t>
      </w:r>
      <w:r w:rsidRPr="004D304C">
        <w:rPr>
          <w:rFonts w:ascii="Arial" w:eastAsia="Times New Roman" w:hAnsi="Arial" w:cs="Arial"/>
          <w:color w:val="595959" w:themeColor="text1" w:themeTint="A6"/>
          <w:sz w:val="18"/>
          <w:szCs w:val="18"/>
          <w:lang w:val="en-US" w:eastAsia="pl-PL"/>
        </w:rPr>
        <w:t xml:space="preserve">. Options can be used not only to invest in an expected </w:t>
      </w:r>
      <w:r w:rsidR="004D6C69" w:rsidRPr="004D304C">
        <w:rPr>
          <w:rFonts w:ascii="Arial" w:eastAsia="Times New Roman" w:hAnsi="Arial" w:cs="Arial"/>
          <w:color w:val="595959" w:themeColor="text1" w:themeTint="A6"/>
          <w:sz w:val="18"/>
          <w:szCs w:val="18"/>
          <w:lang w:val="en-US" w:eastAsia="pl-PL"/>
        </w:rPr>
        <w:t>increase or decrease</w:t>
      </w:r>
      <w:r w:rsidRPr="004D304C">
        <w:rPr>
          <w:rFonts w:ascii="Arial" w:eastAsia="Times New Roman" w:hAnsi="Arial" w:cs="Arial"/>
          <w:color w:val="595959" w:themeColor="text1" w:themeTint="A6"/>
          <w:sz w:val="18"/>
          <w:szCs w:val="18"/>
          <w:lang w:val="en-US" w:eastAsia="pl-PL"/>
        </w:rPr>
        <w:t xml:space="preserve"> of </w:t>
      </w:r>
      <w:r w:rsidR="004D6C69" w:rsidRPr="004D304C">
        <w:rPr>
          <w:rFonts w:ascii="Arial" w:eastAsia="Times New Roman" w:hAnsi="Arial" w:cs="Arial"/>
          <w:color w:val="595959" w:themeColor="text1" w:themeTint="A6"/>
          <w:sz w:val="18"/>
          <w:szCs w:val="18"/>
          <w:lang w:val="en-US" w:eastAsia="pl-PL"/>
        </w:rPr>
        <w:t xml:space="preserve">the </w:t>
      </w:r>
      <w:r w:rsidRPr="004D304C">
        <w:rPr>
          <w:rFonts w:ascii="Arial" w:eastAsia="Times New Roman" w:hAnsi="Arial" w:cs="Arial"/>
          <w:color w:val="595959" w:themeColor="text1" w:themeTint="A6"/>
          <w:sz w:val="18"/>
          <w:szCs w:val="18"/>
          <w:lang w:val="en-US" w:eastAsia="pl-PL"/>
        </w:rPr>
        <w:t xml:space="preserve">value of the underlying instrument but also </w:t>
      </w:r>
      <w:r w:rsidR="004D6C69" w:rsidRPr="004D304C">
        <w:rPr>
          <w:rFonts w:ascii="Arial" w:eastAsia="Times New Roman" w:hAnsi="Arial" w:cs="Arial"/>
          <w:color w:val="595959" w:themeColor="text1" w:themeTint="A6"/>
          <w:sz w:val="18"/>
          <w:szCs w:val="18"/>
          <w:lang w:val="en-US" w:eastAsia="pl-PL"/>
        </w:rPr>
        <w:t>an increase or decrease</w:t>
      </w:r>
      <w:r w:rsidRPr="004D304C">
        <w:rPr>
          <w:rFonts w:ascii="Arial" w:eastAsia="Times New Roman" w:hAnsi="Arial" w:cs="Arial"/>
          <w:color w:val="595959" w:themeColor="text1" w:themeTint="A6"/>
          <w:sz w:val="18"/>
          <w:szCs w:val="18"/>
          <w:lang w:val="en-US" w:eastAsia="pl-PL"/>
        </w:rPr>
        <w:t xml:space="preserve"> of market volatility</w:t>
      </w:r>
      <w:r w:rsidR="004D6C69" w:rsidRPr="004D304C">
        <w:rPr>
          <w:rFonts w:ascii="Arial" w:eastAsia="Times New Roman" w:hAnsi="Arial" w:cs="Arial"/>
          <w:color w:val="595959" w:themeColor="text1" w:themeTint="A6"/>
          <w:sz w:val="18"/>
          <w:szCs w:val="18"/>
          <w:lang w:val="en-US" w:eastAsia="pl-PL"/>
        </w:rPr>
        <w:t>,</w:t>
      </w:r>
      <w:r w:rsidRPr="004D304C">
        <w:rPr>
          <w:rFonts w:ascii="Arial" w:eastAsia="Times New Roman" w:hAnsi="Arial" w:cs="Arial"/>
          <w:color w:val="595959" w:themeColor="text1" w:themeTint="A6"/>
          <w:sz w:val="18"/>
          <w:szCs w:val="18"/>
          <w:lang w:val="en-US" w:eastAsia="pl-PL"/>
        </w:rPr>
        <w:t xml:space="preserve"> etc. Arbitrage strategies, employed mainly by institutional investors, are a special variety of investment strategies. </w:t>
      </w:r>
    </w:p>
    <w:p w:rsidR="00317A48" w:rsidRPr="008C2AF9" w:rsidRDefault="00317A48" w:rsidP="00C231AE">
      <w:pPr>
        <w:jc w:val="both"/>
        <w:rPr>
          <w:rFonts w:ascii="Arial" w:hAnsi="Arial" w:cs="Arial"/>
          <w:bCs/>
          <w:sz w:val="20"/>
          <w:szCs w:val="20"/>
          <w:lang w:val="en-GB"/>
        </w:rPr>
        <w:sectPr w:rsidR="00317A48" w:rsidRPr="008C2AF9" w:rsidSect="00CC26E9">
          <w:footerReference w:type="default" r:id="rId9"/>
          <w:headerReference w:type="first" r:id="rId10"/>
          <w:footerReference w:type="first" r:id="rId11"/>
          <w:pgSz w:w="11906" w:h="16838"/>
          <w:pgMar w:top="1135" w:right="1700" w:bottom="1843" w:left="1843" w:header="709" w:footer="709" w:gutter="0"/>
          <w:cols w:space="708"/>
          <w:titlePg/>
          <w:docGrid w:linePitch="360"/>
        </w:sectPr>
      </w:pPr>
    </w:p>
    <w:p w:rsidR="002C6CF6" w:rsidRPr="004D304C" w:rsidRDefault="004D6C69" w:rsidP="008C2AF9">
      <w:pPr>
        <w:jc w:val="both"/>
        <w:rPr>
          <w:rFonts w:ascii="Arial" w:eastAsia="Times New Roman" w:hAnsi="Arial" w:cs="Arial"/>
          <w:b/>
          <w:color w:val="595959" w:themeColor="text1" w:themeTint="A6"/>
          <w:sz w:val="18"/>
          <w:szCs w:val="18"/>
          <w:lang w:val="en-US" w:eastAsia="pl-PL"/>
        </w:rPr>
      </w:pPr>
      <w:r w:rsidRPr="004D304C">
        <w:rPr>
          <w:rFonts w:ascii="Arial" w:eastAsia="Times New Roman" w:hAnsi="Arial" w:cs="Arial"/>
          <w:b/>
          <w:color w:val="595959" w:themeColor="text1" w:themeTint="A6"/>
          <w:sz w:val="18"/>
          <w:szCs w:val="18"/>
          <w:lang w:val="en-US" w:eastAsia="pl-PL"/>
        </w:rPr>
        <w:lastRenderedPageBreak/>
        <w:t>Table</w:t>
      </w:r>
      <w:r w:rsidR="00252078" w:rsidRPr="004D304C">
        <w:rPr>
          <w:rFonts w:ascii="Arial" w:eastAsia="Times New Roman" w:hAnsi="Arial" w:cs="Arial"/>
          <w:b/>
          <w:color w:val="595959" w:themeColor="text1" w:themeTint="A6"/>
          <w:sz w:val="18"/>
          <w:szCs w:val="18"/>
          <w:lang w:val="en-US" w:eastAsia="pl-PL"/>
        </w:rPr>
        <w:t xml:space="preserve"> 1</w:t>
      </w:r>
    </w:p>
    <w:p w:rsidR="001D31DF" w:rsidRPr="004D304C" w:rsidRDefault="001D31DF" w:rsidP="001D31DF">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Volume of trading (including block trades):</w:t>
      </w:r>
    </w:p>
    <w:p w:rsidR="001D31DF" w:rsidRPr="008C2AF9" w:rsidRDefault="001D31DF" w:rsidP="001D31DF">
      <w:pPr>
        <w:numPr>
          <w:ilvl w:val="0"/>
          <w:numId w:val="29"/>
        </w:numPr>
        <w:spacing w:after="0" w:line="240" w:lineRule="auto"/>
        <w:jc w:val="both"/>
        <w:rPr>
          <w:rFonts w:ascii="Arial" w:eastAsia="Times New Roman" w:hAnsi="Arial" w:cs="Arial"/>
          <w:color w:val="595959" w:themeColor="text1" w:themeTint="A6"/>
          <w:sz w:val="18"/>
          <w:szCs w:val="18"/>
          <w:lang w:eastAsia="pl-PL"/>
        </w:rPr>
      </w:pPr>
      <w:r w:rsidRPr="008C2AF9">
        <w:rPr>
          <w:rFonts w:ascii="Arial" w:eastAsia="Times New Roman" w:hAnsi="Arial" w:cs="Arial"/>
          <w:color w:val="595959" w:themeColor="text1" w:themeTint="A6"/>
          <w:sz w:val="18"/>
          <w:szCs w:val="18"/>
          <w:lang w:eastAsia="pl-PL"/>
        </w:rPr>
        <w:t xml:space="preserve">in </w:t>
      </w:r>
      <w:r w:rsidR="006B67F2" w:rsidRPr="008C2AF9">
        <w:rPr>
          <w:rFonts w:ascii="Arial" w:eastAsia="Times New Roman" w:hAnsi="Arial" w:cs="Arial"/>
          <w:color w:val="595959" w:themeColor="text1" w:themeTint="A6"/>
          <w:sz w:val="18"/>
          <w:szCs w:val="18"/>
          <w:lang w:eastAsia="pl-PL"/>
        </w:rPr>
        <w:t>March 2013</w:t>
      </w:r>
      <w:r w:rsidRPr="008C2AF9">
        <w:rPr>
          <w:rFonts w:ascii="Arial" w:eastAsia="Times New Roman" w:hAnsi="Arial" w:cs="Arial"/>
          <w:color w:val="595959" w:themeColor="text1" w:themeTint="A6"/>
          <w:sz w:val="18"/>
          <w:szCs w:val="18"/>
          <w:lang w:eastAsia="pl-PL"/>
        </w:rPr>
        <w:t>;</w:t>
      </w:r>
    </w:p>
    <w:p w:rsidR="001D31DF" w:rsidRPr="008C2AF9" w:rsidRDefault="001D31DF" w:rsidP="001D31DF">
      <w:pPr>
        <w:numPr>
          <w:ilvl w:val="0"/>
          <w:numId w:val="29"/>
        </w:numPr>
        <w:spacing w:after="0" w:line="240" w:lineRule="auto"/>
        <w:jc w:val="both"/>
        <w:rPr>
          <w:rFonts w:ascii="Arial" w:eastAsia="Times New Roman" w:hAnsi="Arial" w:cs="Arial"/>
          <w:color w:val="595959" w:themeColor="text1" w:themeTint="A6"/>
          <w:sz w:val="18"/>
          <w:szCs w:val="18"/>
          <w:lang w:eastAsia="pl-PL"/>
        </w:rPr>
      </w:pPr>
      <w:r w:rsidRPr="008C2AF9">
        <w:rPr>
          <w:rFonts w:ascii="Arial" w:eastAsia="Times New Roman" w:hAnsi="Arial" w:cs="Arial"/>
          <w:color w:val="595959" w:themeColor="text1" w:themeTint="A6"/>
          <w:sz w:val="18"/>
          <w:szCs w:val="18"/>
          <w:lang w:eastAsia="pl-PL"/>
        </w:rPr>
        <w:t xml:space="preserve">in </w:t>
      </w:r>
      <w:r w:rsidR="006B67F2" w:rsidRPr="008C2AF9">
        <w:rPr>
          <w:rFonts w:ascii="Arial" w:eastAsia="Times New Roman" w:hAnsi="Arial" w:cs="Arial"/>
          <w:color w:val="595959" w:themeColor="text1" w:themeTint="A6"/>
          <w:sz w:val="18"/>
          <w:szCs w:val="18"/>
          <w:lang w:eastAsia="pl-PL"/>
        </w:rPr>
        <w:t xml:space="preserve">April 2012 – March </w:t>
      </w:r>
      <w:r w:rsidR="004D6C69" w:rsidRPr="008C2AF9">
        <w:rPr>
          <w:rFonts w:ascii="Arial" w:eastAsia="Times New Roman" w:hAnsi="Arial" w:cs="Arial"/>
          <w:color w:val="595959" w:themeColor="text1" w:themeTint="A6"/>
          <w:sz w:val="18"/>
          <w:szCs w:val="18"/>
          <w:lang w:eastAsia="pl-PL"/>
        </w:rPr>
        <w:t>2013</w:t>
      </w:r>
      <w:r w:rsidRPr="008C2AF9">
        <w:rPr>
          <w:rFonts w:ascii="Arial" w:eastAsia="Times New Roman" w:hAnsi="Arial" w:cs="Arial"/>
          <w:color w:val="595959" w:themeColor="text1" w:themeTint="A6"/>
          <w:sz w:val="18"/>
          <w:szCs w:val="18"/>
          <w:lang w:eastAsia="pl-PL"/>
        </w:rPr>
        <w:t>;</w:t>
      </w:r>
    </w:p>
    <w:p w:rsidR="001D31DF" w:rsidRPr="004D304C" w:rsidRDefault="001D31DF" w:rsidP="001D31DF">
      <w:pPr>
        <w:numPr>
          <w:ilvl w:val="0"/>
          <w:numId w:val="29"/>
        </w:numPr>
        <w:spacing w:after="0" w:line="240" w:lineRule="auto"/>
        <w:jc w:val="both"/>
        <w:rPr>
          <w:rFonts w:ascii="Arial" w:eastAsia="Times New Roman" w:hAnsi="Arial" w:cs="Arial"/>
          <w:color w:val="595959" w:themeColor="text1" w:themeTint="A6"/>
          <w:sz w:val="18"/>
          <w:szCs w:val="18"/>
          <w:lang w:val="en-US" w:eastAsia="pl-PL"/>
        </w:rPr>
      </w:pPr>
      <w:proofErr w:type="gramStart"/>
      <w:r w:rsidRPr="004D304C">
        <w:rPr>
          <w:rFonts w:ascii="Arial" w:eastAsia="Times New Roman" w:hAnsi="Arial" w:cs="Arial"/>
          <w:color w:val="595959" w:themeColor="text1" w:themeTint="A6"/>
          <w:sz w:val="18"/>
          <w:szCs w:val="18"/>
          <w:lang w:val="en-US" w:eastAsia="pl-PL"/>
        </w:rPr>
        <w:t>number</w:t>
      </w:r>
      <w:proofErr w:type="gramEnd"/>
      <w:r w:rsidRPr="004D304C">
        <w:rPr>
          <w:rFonts w:ascii="Arial" w:eastAsia="Times New Roman" w:hAnsi="Arial" w:cs="Arial"/>
          <w:color w:val="595959" w:themeColor="text1" w:themeTint="A6"/>
          <w:sz w:val="18"/>
          <w:szCs w:val="18"/>
          <w:lang w:val="en-US" w:eastAsia="pl-PL"/>
        </w:rPr>
        <w:t xml:space="preserve"> of open interest (NOI) at the end of </w:t>
      </w:r>
      <w:r w:rsidR="006B67F2" w:rsidRPr="004D304C">
        <w:rPr>
          <w:rFonts w:ascii="Arial" w:eastAsia="Times New Roman" w:hAnsi="Arial" w:cs="Arial"/>
          <w:color w:val="595959" w:themeColor="text1" w:themeTint="A6"/>
          <w:sz w:val="18"/>
          <w:szCs w:val="18"/>
          <w:lang w:val="en-US" w:eastAsia="pl-PL"/>
        </w:rPr>
        <w:t>March</w:t>
      </w:r>
      <w:r w:rsidR="004D6C69" w:rsidRPr="004D304C">
        <w:rPr>
          <w:rFonts w:ascii="Arial" w:eastAsia="Times New Roman" w:hAnsi="Arial" w:cs="Arial"/>
          <w:color w:val="595959" w:themeColor="text1" w:themeTint="A6"/>
          <w:sz w:val="18"/>
          <w:szCs w:val="18"/>
          <w:lang w:val="en-US" w:eastAsia="pl-PL"/>
        </w:rPr>
        <w:t xml:space="preserve"> 2013.</w:t>
      </w:r>
    </w:p>
    <w:p w:rsidR="008C2AF9" w:rsidRPr="004D304C" w:rsidRDefault="008C2AF9" w:rsidP="008C2AF9">
      <w:pPr>
        <w:spacing w:after="0" w:line="240" w:lineRule="auto"/>
        <w:ind w:left="720"/>
        <w:jc w:val="both"/>
        <w:rPr>
          <w:rFonts w:ascii="Arial" w:eastAsia="Times New Roman" w:hAnsi="Arial" w:cs="Arial"/>
          <w:color w:val="595959" w:themeColor="text1" w:themeTint="A6"/>
          <w:sz w:val="18"/>
          <w:szCs w:val="18"/>
          <w:lang w:val="en-US" w:eastAsia="pl-PL"/>
        </w:rPr>
      </w:pPr>
    </w:p>
    <w:tbl>
      <w:tblPr>
        <w:tblW w:w="16160" w:type="dxa"/>
        <w:tblInd w:w="-1348" w:type="dxa"/>
        <w:tblLayout w:type="fixed"/>
        <w:tblCellMar>
          <w:left w:w="70" w:type="dxa"/>
          <w:right w:w="70" w:type="dxa"/>
        </w:tblCellMar>
        <w:tblLook w:val="04A0" w:firstRow="1" w:lastRow="0" w:firstColumn="1" w:lastColumn="0" w:noHBand="0" w:noVBand="1"/>
      </w:tblPr>
      <w:tblGrid>
        <w:gridCol w:w="567"/>
        <w:gridCol w:w="2292"/>
        <w:gridCol w:w="1053"/>
        <w:gridCol w:w="1053"/>
        <w:gridCol w:w="1078"/>
        <w:gridCol w:w="1171"/>
        <w:gridCol w:w="1171"/>
        <w:gridCol w:w="980"/>
        <w:gridCol w:w="1573"/>
        <w:gridCol w:w="1141"/>
        <w:gridCol w:w="1058"/>
        <w:gridCol w:w="1038"/>
        <w:gridCol w:w="993"/>
        <w:gridCol w:w="992"/>
      </w:tblGrid>
      <w:tr w:rsidR="006B67F2" w:rsidRPr="008C2AF9" w:rsidTr="00CB3796">
        <w:trPr>
          <w:trHeight w:val="285"/>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20"/>
                <w:szCs w:val="20"/>
                <w:lang w:eastAsia="pl-PL"/>
              </w:rPr>
            </w:pPr>
            <w:r w:rsidRPr="008C2AF9">
              <w:rPr>
                <w:rFonts w:ascii="Arial" w:eastAsia="Times New Roman" w:hAnsi="Arial" w:cs="Arial"/>
                <w:b/>
                <w:bCs/>
                <w:color w:val="FFFFFF"/>
                <w:sz w:val="20"/>
                <w:szCs w:val="20"/>
                <w:lang w:eastAsia="pl-PL"/>
              </w:rPr>
              <w:t>No.</w:t>
            </w:r>
          </w:p>
        </w:tc>
        <w:tc>
          <w:tcPr>
            <w:tcW w:w="2292" w:type="dxa"/>
            <w:vMerge w:val="restart"/>
            <w:tcBorders>
              <w:top w:val="single" w:sz="8" w:space="0" w:color="auto"/>
              <w:left w:val="single" w:sz="8" w:space="0" w:color="auto"/>
              <w:bottom w:val="single" w:sz="8" w:space="0" w:color="000000"/>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20"/>
                <w:szCs w:val="20"/>
                <w:lang w:eastAsia="pl-PL"/>
              </w:rPr>
            </w:pPr>
            <w:r w:rsidRPr="008C2AF9">
              <w:rPr>
                <w:rFonts w:ascii="Arial" w:eastAsia="Times New Roman" w:hAnsi="Arial" w:cs="Arial"/>
                <w:b/>
                <w:bCs/>
                <w:color w:val="FFFFFF"/>
                <w:sz w:val="20"/>
                <w:szCs w:val="20"/>
                <w:lang w:eastAsia="pl-PL"/>
              </w:rPr>
              <w:t>INSTRUMENT</w:t>
            </w:r>
          </w:p>
        </w:tc>
        <w:tc>
          <w:tcPr>
            <w:tcW w:w="10278" w:type="dxa"/>
            <w:gridSpan w:val="9"/>
            <w:tcBorders>
              <w:top w:val="single" w:sz="8" w:space="0" w:color="auto"/>
              <w:left w:val="nil"/>
              <w:bottom w:val="nil"/>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 xml:space="preserve"> </w:t>
            </w:r>
          </w:p>
        </w:tc>
        <w:tc>
          <w:tcPr>
            <w:tcW w:w="3023" w:type="dxa"/>
            <w:gridSpan w:val="3"/>
            <w:tcBorders>
              <w:top w:val="single" w:sz="8" w:space="0" w:color="auto"/>
              <w:left w:val="nil"/>
              <w:bottom w:val="nil"/>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 xml:space="preserve"> </w:t>
            </w:r>
          </w:p>
        </w:tc>
      </w:tr>
      <w:tr w:rsidR="006B67F2" w:rsidRPr="008C2AF9" w:rsidTr="00CB3796">
        <w:trPr>
          <w:trHeight w:val="28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10278" w:type="dxa"/>
            <w:gridSpan w:val="9"/>
            <w:tcBorders>
              <w:top w:val="nil"/>
              <w:left w:val="nil"/>
              <w:bottom w:val="nil"/>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VOLUME OF TRADING</w:t>
            </w:r>
          </w:p>
        </w:tc>
        <w:tc>
          <w:tcPr>
            <w:tcW w:w="3023" w:type="dxa"/>
            <w:gridSpan w:val="3"/>
            <w:tcBorders>
              <w:top w:val="nil"/>
              <w:left w:val="nil"/>
              <w:bottom w:val="nil"/>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NOI</w:t>
            </w:r>
          </w:p>
        </w:tc>
      </w:tr>
      <w:tr w:rsidR="006B67F2" w:rsidRPr="008C2AF9" w:rsidTr="00CB3796">
        <w:trPr>
          <w:trHeight w:val="31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10278" w:type="dxa"/>
            <w:gridSpan w:val="9"/>
            <w:tcBorders>
              <w:top w:val="nil"/>
              <w:left w:val="nil"/>
              <w:bottom w:val="nil"/>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w:t>
            </w:r>
          </w:p>
        </w:tc>
        <w:tc>
          <w:tcPr>
            <w:tcW w:w="3023" w:type="dxa"/>
            <w:gridSpan w:val="3"/>
            <w:tcBorders>
              <w:top w:val="nil"/>
              <w:left w:val="nil"/>
              <w:bottom w:val="single" w:sz="8" w:space="0" w:color="000000"/>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lang w:eastAsia="pl-PL"/>
              </w:rPr>
            </w:pPr>
            <w:r w:rsidRPr="008C2AF9">
              <w:rPr>
                <w:rFonts w:ascii="Arial" w:eastAsia="Times New Roman" w:hAnsi="Arial" w:cs="Arial"/>
                <w:b/>
                <w:bCs/>
                <w:color w:val="FFFFFF"/>
                <w:lang w:eastAsia="pl-PL"/>
              </w:rPr>
              <w:t>(#)</w:t>
            </w:r>
          </w:p>
        </w:tc>
      </w:tr>
      <w:tr w:rsidR="006B67F2" w:rsidRPr="008C2AF9" w:rsidTr="00CB3796">
        <w:trPr>
          <w:trHeight w:val="31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3184" w:type="dxa"/>
            <w:gridSpan w:val="3"/>
            <w:tcBorders>
              <w:top w:val="single" w:sz="8" w:space="0" w:color="auto"/>
              <w:left w:val="nil"/>
              <w:bottom w:val="dotted" w:sz="4" w:space="0" w:color="auto"/>
              <w:right w:val="nil"/>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MARCH</w:t>
            </w:r>
          </w:p>
        </w:tc>
        <w:tc>
          <w:tcPr>
            <w:tcW w:w="1171" w:type="dxa"/>
            <w:vMerge w:val="restart"/>
            <w:tcBorders>
              <w:top w:val="single" w:sz="8" w:space="0" w:color="auto"/>
              <w:left w:val="single" w:sz="8" w:space="0" w:color="auto"/>
              <w:bottom w:val="single" w:sz="8" w:space="0" w:color="000000"/>
              <w:right w:val="nil"/>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 xml:space="preserve"> JAN - MAR 2013 </w:t>
            </w:r>
          </w:p>
        </w:tc>
        <w:tc>
          <w:tcPr>
            <w:tcW w:w="1171" w:type="dxa"/>
            <w:vMerge w:val="restart"/>
            <w:tcBorders>
              <w:top w:val="single" w:sz="8" w:space="0" w:color="auto"/>
              <w:left w:val="nil"/>
              <w:bottom w:val="single" w:sz="8" w:space="0" w:color="000000"/>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JAN - MAR 2012</w:t>
            </w:r>
          </w:p>
        </w:tc>
        <w:tc>
          <w:tcPr>
            <w:tcW w:w="980" w:type="dxa"/>
            <w:tcBorders>
              <w:top w:val="single" w:sz="8" w:space="0" w:color="auto"/>
              <w:left w:val="nil"/>
              <w:bottom w:val="nil"/>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CHANGE</w:t>
            </w:r>
          </w:p>
        </w:tc>
        <w:tc>
          <w:tcPr>
            <w:tcW w:w="1573" w:type="dxa"/>
            <w:vMerge w:val="restart"/>
            <w:tcBorders>
              <w:top w:val="single" w:sz="8" w:space="0" w:color="auto"/>
              <w:left w:val="nil"/>
              <w:bottom w:val="single" w:sz="8" w:space="0" w:color="000000"/>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LAST 12 MONTHS APR'12-MAR'13</w:t>
            </w:r>
          </w:p>
        </w:tc>
        <w:tc>
          <w:tcPr>
            <w:tcW w:w="1141" w:type="dxa"/>
            <w:vMerge w:val="restart"/>
            <w:tcBorders>
              <w:top w:val="single" w:sz="8" w:space="0" w:color="auto"/>
              <w:left w:val="dotted" w:sz="4" w:space="0" w:color="auto"/>
              <w:bottom w:val="nil"/>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2012</w:t>
            </w:r>
          </w:p>
        </w:tc>
        <w:tc>
          <w:tcPr>
            <w:tcW w:w="1058" w:type="dxa"/>
            <w:tcBorders>
              <w:top w:val="single" w:sz="8" w:space="0" w:color="auto"/>
              <w:left w:val="nil"/>
              <w:bottom w:val="nil"/>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CHANGE</w:t>
            </w:r>
          </w:p>
        </w:tc>
        <w:tc>
          <w:tcPr>
            <w:tcW w:w="3023" w:type="dxa"/>
            <w:gridSpan w:val="3"/>
            <w:tcBorders>
              <w:top w:val="single" w:sz="8" w:space="0" w:color="000000"/>
              <w:left w:val="nil"/>
              <w:bottom w:val="dotted" w:sz="4" w:space="0" w:color="auto"/>
              <w:right w:val="single" w:sz="8" w:space="0" w:color="000000"/>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end of MARCH</w:t>
            </w:r>
          </w:p>
        </w:tc>
      </w:tr>
      <w:tr w:rsidR="006B67F2" w:rsidRPr="008C2AF9" w:rsidTr="00CB3796">
        <w:trPr>
          <w:trHeight w:val="28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1053" w:type="dxa"/>
            <w:vMerge w:val="restart"/>
            <w:tcBorders>
              <w:top w:val="nil"/>
              <w:left w:val="single" w:sz="8" w:space="0" w:color="auto"/>
              <w:bottom w:val="single" w:sz="8" w:space="0" w:color="000000"/>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2013</w:t>
            </w:r>
          </w:p>
        </w:tc>
        <w:tc>
          <w:tcPr>
            <w:tcW w:w="1053" w:type="dxa"/>
            <w:vMerge w:val="restart"/>
            <w:tcBorders>
              <w:top w:val="nil"/>
              <w:left w:val="dotted" w:sz="4" w:space="0" w:color="auto"/>
              <w:bottom w:val="single" w:sz="8" w:space="0" w:color="000000"/>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2012</w:t>
            </w:r>
          </w:p>
        </w:tc>
        <w:tc>
          <w:tcPr>
            <w:tcW w:w="1078" w:type="dxa"/>
            <w:tcBorders>
              <w:top w:val="nil"/>
              <w:left w:val="nil"/>
              <w:bottom w:val="nil"/>
              <w:right w:val="nil"/>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CHANGE</w:t>
            </w:r>
          </w:p>
        </w:tc>
        <w:tc>
          <w:tcPr>
            <w:tcW w:w="1171" w:type="dxa"/>
            <w:vMerge/>
            <w:tcBorders>
              <w:top w:val="single" w:sz="8" w:space="0" w:color="auto"/>
              <w:left w:val="single" w:sz="8" w:space="0" w:color="auto"/>
              <w:bottom w:val="single" w:sz="8" w:space="0" w:color="000000"/>
              <w:right w:val="nil"/>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171" w:type="dxa"/>
            <w:vMerge/>
            <w:tcBorders>
              <w:top w:val="single" w:sz="8" w:space="0" w:color="auto"/>
              <w:left w:val="nil"/>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980" w:type="dxa"/>
            <w:tcBorders>
              <w:top w:val="nil"/>
              <w:left w:val="nil"/>
              <w:bottom w:val="nil"/>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w:t>
            </w:r>
          </w:p>
        </w:tc>
        <w:tc>
          <w:tcPr>
            <w:tcW w:w="1573" w:type="dxa"/>
            <w:vMerge/>
            <w:tcBorders>
              <w:top w:val="single" w:sz="8" w:space="0" w:color="auto"/>
              <w:left w:val="nil"/>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141" w:type="dxa"/>
            <w:vMerge/>
            <w:tcBorders>
              <w:top w:val="single" w:sz="8" w:space="0" w:color="auto"/>
              <w:left w:val="dotted" w:sz="4" w:space="0" w:color="auto"/>
              <w:bottom w:val="nil"/>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058" w:type="dxa"/>
            <w:tcBorders>
              <w:top w:val="nil"/>
              <w:left w:val="nil"/>
              <w:bottom w:val="nil"/>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w:t>
            </w:r>
          </w:p>
        </w:tc>
        <w:tc>
          <w:tcPr>
            <w:tcW w:w="1038" w:type="dxa"/>
            <w:vMerge w:val="restart"/>
            <w:tcBorders>
              <w:top w:val="nil"/>
              <w:left w:val="single" w:sz="8" w:space="0" w:color="auto"/>
              <w:bottom w:val="single" w:sz="8" w:space="0" w:color="000000"/>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2013</w:t>
            </w:r>
          </w:p>
        </w:tc>
        <w:tc>
          <w:tcPr>
            <w:tcW w:w="993" w:type="dxa"/>
            <w:vMerge w:val="restart"/>
            <w:tcBorders>
              <w:top w:val="nil"/>
              <w:left w:val="dotted" w:sz="4" w:space="0" w:color="auto"/>
              <w:bottom w:val="single" w:sz="8" w:space="0" w:color="000000"/>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2012</w:t>
            </w:r>
          </w:p>
        </w:tc>
        <w:tc>
          <w:tcPr>
            <w:tcW w:w="992" w:type="dxa"/>
            <w:tcBorders>
              <w:top w:val="nil"/>
              <w:left w:val="nil"/>
              <w:bottom w:val="nil"/>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CHANGE</w:t>
            </w:r>
          </w:p>
        </w:tc>
      </w:tr>
      <w:tr w:rsidR="006B67F2" w:rsidRPr="008C2AF9" w:rsidTr="00CB3796">
        <w:trPr>
          <w:trHeight w:val="30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20"/>
                <w:szCs w:val="20"/>
                <w:lang w:eastAsia="pl-PL"/>
              </w:rPr>
            </w:pPr>
          </w:p>
        </w:tc>
        <w:tc>
          <w:tcPr>
            <w:tcW w:w="1053" w:type="dxa"/>
            <w:vMerge/>
            <w:tcBorders>
              <w:top w:val="nil"/>
              <w:left w:val="single" w:sz="8" w:space="0" w:color="auto"/>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053" w:type="dxa"/>
            <w:vMerge/>
            <w:tcBorders>
              <w:top w:val="nil"/>
              <w:left w:val="dotted" w:sz="4" w:space="0" w:color="auto"/>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078" w:type="dxa"/>
            <w:tcBorders>
              <w:top w:val="nil"/>
              <w:left w:val="nil"/>
              <w:bottom w:val="single" w:sz="8" w:space="0" w:color="auto"/>
              <w:right w:val="nil"/>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w:t>
            </w:r>
          </w:p>
        </w:tc>
        <w:tc>
          <w:tcPr>
            <w:tcW w:w="1171" w:type="dxa"/>
            <w:vMerge/>
            <w:tcBorders>
              <w:top w:val="single" w:sz="8" w:space="0" w:color="auto"/>
              <w:left w:val="single" w:sz="8" w:space="0" w:color="auto"/>
              <w:bottom w:val="single" w:sz="8" w:space="0" w:color="000000"/>
              <w:right w:val="nil"/>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171" w:type="dxa"/>
            <w:vMerge/>
            <w:tcBorders>
              <w:top w:val="single" w:sz="8" w:space="0" w:color="auto"/>
              <w:left w:val="nil"/>
              <w:bottom w:val="single" w:sz="8" w:space="0" w:color="000000"/>
              <w:right w:val="single" w:sz="8"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980" w:type="dxa"/>
            <w:tcBorders>
              <w:top w:val="nil"/>
              <w:left w:val="nil"/>
              <w:bottom w:val="single" w:sz="8" w:space="0" w:color="000000"/>
              <w:right w:val="single" w:sz="8" w:space="0" w:color="auto"/>
            </w:tcBorders>
            <w:shd w:val="clear" w:color="000000" w:fill="538ED5"/>
            <w:vAlign w:val="bottom"/>
            <w:hideMark/>
          </w:tcPr>
          <w:p w:rsidR="006B67F2" w:rsidRPr="008C2AF9" w:rsidRDefault="006B67F2" w:rsidP="006B67F2">
            <w:pPr>
              <w:spacing w:after="0" w:line="240" w:lineRule="auto"/>
              <w:rPr>
                <w:rFonts w:ascii="Arial" w:eastAsia="Times New Roman" w:hAnsi="Arial" w:cs="Arial"/>
                <w:color w:val="000000"/>
                <w:lang w:eastAsia="pl-PL"/>
              </w:rPr>
            </w:pPr>
            <w:r w:rsidRPr="008C2AF9">
              <w:rPr>
                <w:rFonts w:ascii="Arial" w:eastAsia="Times New Roman" w:hAnsi="Arial" w:cs="Arial"/>
                <w:color w:val="000000"/>
                <w:lang w:eastAsia="pl-PL"/>
              </w:rPr>
              <w:t> </w:t>
            </w:r>
          </w:p>
        </w:tc>
        <w:tc>
          <w:tcPr>
            <w:tcW w:w="1573" w:type="dxa"/>
            <w:vMerge/>
            <w:tcBorders>
              <w:top w:val="single" w:sz="8" w:space="0" w:color="auto"/>
              <w:left w:val="nil"/>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1141"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 </w:t>
            </w:r>
          </w:p>
        </w:tc>
        <w:tc>
          <w:tcPr>
            <w:tcW w:w="1058" w:type="dxa"/>
            <w:tcBorders>
              <w:top w:val="nil"/>
              <w:left w:val="nil"/>
              <w:bottom w:val="single" w:sz="8" w:space="0" w:color="000000"/>
              <w:right w:val="single" w:sz="8" w:space="0" w:color="auto"/>
            </w:tcBorders>
            <w:shd w:val="clear" w:color="000000" w:fill="538ED5"/>
            <w:vAlign w:val="bottom"/>
            <w:hideMark/>
          </w:tcPr>
          <w:p w:rsidR="006B67F2" w:rsidRPr="008C2AF9" w:rsidRDefault="006B67F2" w:rsidP="006B67F2">
            <w:pPr>
              <w:spacing w:after="0" w:line="240" w:lineRule="auto"/>
              <w:rPr>
                <w:rFonts w:ascii="Arial" w:eastAsia="Times New Roman" w:hAnsi="Arial" w:cs="Arial"/>
                <w:color w:val="000000"/>
                <w:lang w:eastAsia="pl-PL"/>
              </w:rPr>
            </w:pPr>
            <w:r w:rsidRPr="008C2AF9">
              <w:rPr>
                <w:rFonts w:ascii="Arial" w:eastAsia="Times New Roman" w:hAnsi="Arial" w:cs="Arial"/>
                <w:color w:val="000000"/>
                <w:lang w:eastAsia="pl-PL"/>
              </w:rPr>
              <w:t> </w:t>
            </w:r>
          </w:p>
        </w:tc>
        <w:tc>
          <w:tcPr>
            <w:tcW w:w="1038" w:type="dxa"/>
            <w:vMerge/>
            <w:tcBorders>
              <w:top w:val="nil"/>
              <w:left w:val="single" w:sz="8" w:space="0" w:color="auto"/>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993" w:type="dxa"/>
            <w:vMerge/>
            <w:tcBorders>
              <w:top w:val="nil"/>
              <w:left w:val="dotted" w:sz="4" w:space="0" w:color="auto"/>
              <w:bottom w:val="single" w:sz="8" w:space="0" w:color="000000"/>
              <w:right w:val="dotted" w:sz="4" w:space="0" w:color="auto"/>
            </w:tcBorders>
            <w:vAlign w:val="center"/>
            <w:hideMark/>
          </w:tcPr>
          <w:p w:rsidR="006B67F2" w:rsidRPr="008C2AF9" w:rsidRDefault="006B67F2" w:rsidP="006B67F2">
            <w:pPr>
              <w:spacing w:after="0" w:line="240" w:lineRule="auto"/>
              <w:rPr>
                <w:rFonts w:ascii="Arial" w:eastAsia="Times New Roman" w:hAnsi="Arial" w:cs="Arial"/>
                <w:b/>
                <w:bCs/>
                <w:color w:val="FFFFFF"/>
                <w:sz w:val="18"/>
                <w:szCs w:val="18"/>
                <w:lang w:eastAsia="pl-PL"/>
              </w:rPr>
            </w:pPr>
          </w:p>
        </w:tc>
        <w:tc>
          <w:tcPr>
            <w:tcW w:w="992" w:type="dxa"/>
            <w:tcBorders>
              <w:top w:val="nil"/>
              <w:left w:val="nil"/>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jc w:val="center"/>
              <w:rPr>
                <w:rFonts w:ascii="Arial" w:eastAsia="Times New Roman" w:hAnsi="Arial" w:cs="Arial"/>
                <w:b/>
                <w:bCs/>
                <w:color w:val="FFFFFF"/>
                <w:sz w:val="18"/>
                <w:szCs w:val="18"/>
                <w:lang w:eastAsia="pl-PL"/>
              </w:rPr>
            </w:pPr>
            <w:r w:rsidRPr="008C2AF9">
              <w:rPr>
                <w:rFonts w:ascii="Arial" w:eastAsia="Times New Roman" w:hAnsi="Arial" w:cs="Arial"/>
                <w:b/>
                <w:bCs/>
                <w:color w:val="FFFFFF"/>
                <w:sz w:val="18"/>
                <w:szCs w:val="18"/>
                <w:lang w:eastAsia="pl-PL"/>
              </w:rPr>
              <w:t>(%)</w:t>
            </w:r>
          </w:p>
        </w:tc>
      </w:tr>
      <w:tr w:rsidR="006B67F2" w:rsidRPr="008C2AF9" w:rsidTr="00CB3796">
        <w:trPr>
          <w:trHeight w:val="285"/>
        </w:trPr>
        <w:tc>
          <w:tcPr>
            <w:tcW w:w="567" w:type="dxa"/>
            <w:tcBorders>
              <w:top w:val="nil"/>
              <w:left w:val="single" w:sz="8" w:space="0" w:color="auto"/>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w:t>
            </w:r>
          </w:p>
        </w:tc>
        <w:tc>
          <w:tcPr>
            <w:tcW w:w="22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WIG20 FUTURES</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896 840</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947 525</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-5,35%</w:t>
            </w:r>
          </w:p>
        </w:tc>
        <w:tc>
          <w:tcPr>
            <w:tcW w:w="1171" w:type="dxa"/>
            <w:tcBorders>
              <w:top w:val="nil"/>
              <w:left w:val="single" w:sz="8" w:space="0" w:color="auto"/>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2 091 279</w:t>
            </w:r>
          </w:p>
        </w:tc>
        <w:tc>
          <w:tcPr>
            <w:tcW w:w="117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2 401 434</w:t>
            </w:r>
          </w:p>
        </w:tc>
        <w:tc>
          <w:tcPr>
            <w:tcW w:w="980"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-12,92%</w:t>
            </w:r>
          </w:p>
        </w:tc>
        <w:tc>
          <w:tcPr>
            <w:tcW w:w="157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8 766 885</w:t>
            </w:r>
          </w:p>
        </w:tc>
        <w:tc>
          <w:tcPr>
            <w:tcW w:w="114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9 077 040</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-3,42%</w:t>
            </w:r>
          </w:p>
        </w:tc>
        <w:tc>
          <w:tcPr>
            <w:tcW w:w="1038"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116 350</w:t>
            </w:r>
          </w:p>
        </w:tc>
        <w:tc>
          <w:tcPr>
            <w:tcW w:w="99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97 422</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19,43%</w:t>
            </w:r>
          </w:p>
        </w:tc>
      </w:tr>
      <w:tr w:rsidR="006B67F2" w:rsidRPr="008C2AF9" w:rsidTr="00CB3796">
        <w:trPr>
          <w:trHeight w:val="285"/>
        </w:trPr>
        <w:tc>
          <w:tcPr>
            <w:tcW w:w="567" w:type="dxa"/>
            <w:tcBorders>
              <w:top w:val="nil"/>
              <w:left w:val="single" w:sz="8" w:space="0" w:color="auto"/>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w:t>
            </w:r>
          </w:p>
        </w:tc>
        <w:tc>
          <w:tcPr>
            <w:tcW w:w="22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mWIG40 FUTURES</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3 167</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1 466</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116,03%</w:t>
            </w:r>
          </w:p>
        </w:tc>
        <w:tc>
          <w:tcPr>
            <w:tcW w:w="1171" w:type="dxa"/>
            <w:tcBorders>
              <w:top w:val="nil"/>
              <w:left w:val="single" w:sz="8" w:space="0" w:color="auto"/>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6 423</w:t>
            </w:r>
          </w:p>
        </w:tc>
        <w:tc>
          <w:tcPr>
            <w:tcW w:w="117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4 074</w:t>
            </w:r>
          </w:p>
        </w:tc>
        <w:tc>
          <w:tcPr>
            <w:tcW w:w="980"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57,66%</w:t>
            </w:r>
          </w:p>
        </w:tc>
        <w:tc>
          <w:tcPr>
            <w:tcW w:w="157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16 397</w:t>
            </w:r>
          </w:p>
        </w:tc>
        <w:tc>
          <w:tcPr>
            <w:tcW w:w="114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14 048</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16,72%</w:t>
            </w:r>
          </w:p>
        </w:tc>
        <w:tc>
          <w:tcPr>
            <w:tcW w:w="1038"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908</w:t>
            </w:r>
          </w:p>
        </w:tc>
        <w:tc>
          <w:tcPr>
            <w:tcW w:w="99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300</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202,67%</w:t>
            </w:r>
          </w:p>
        </w:tc>
      </w:tr>
      <w:tr w:rsidR="006B67F2" w:rsidRPr="008C2AF9" w:rsidTr="00CB3796">
        <w:trPr>
          <w:trHeight w:val="335"/>
        </w:trPr>
        <w:tc>
          <w:tcPr>
            <w:tcW w:w="567" w:type="dxa"/>
            <w:tcBorders>
              <w:top w:val="nil"/>
              <w:left w:val="single" w:sz="8" w:space="0" w:color="auto"/>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w:t>
            </w:r>
          </w:p>
        </w:tc>
        <w:tc>
          <w:tcPr>
            <w:tcW w:w="22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SINGLE STOCK FUTURES</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75 100</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51 098</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46,97%</w:t>
            </w:r>
          </w:p>
        </w:tc>
        <w:tc>
          <w:tcPr>
            <w:tcW w:w="1171" w:type="dxa"/>
            <w:tcBorders>
              <w:top w:val="nil"/>
              <w:left w:val="single" w:sz="8" w:space="0" w:color="auto"/>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203 810</w:t>
            </w:r>
          </w:p>
        </w:tc>
        <w:tc>
          <w:tcPr>
            <w:tcW w:w="117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147 107</w:t>
            </w:r>
          </w:p>
        </w:tc>
        <w:tc>
          <w:tcPr>
            <w:tcW w:w="980"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38,55%</w:t>
            </w:r>
          </w:p>
        </w:tc>
        <w:tc>
          <w:tcPr>
            <w:tcW w:w="157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597 033</w:t>
            </w:r>
          </w:p>
        </w:tc>
        <w:tc>
          <w:tcPr>
            <w:tcW w:w="114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540 330</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10,49%</w:t>
            </w:r>
          </w:p>
        </w:tc>
        <w:tc>
          <w:tcPr>
            <w:tcW w:w="1038"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11 352</w:t>
            </w:r>
          </w:p>
        </w:tc>
        <w:tc>
          <w:tcPr>
            <w:tcW w:w="99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11 617</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-2,28%</w:t>
            </w:r>
          </w:p>
        </w:tc>
      </w:tr>
      <w:tr w:rsidR="006B67F2" w:rsidRPr="008C2AF9" w:rsidTr="00CB3796">
        <w:trPr>
          <w:trHeight w:val="285"/>
        </w:trPr>
        <w:tc>
          <w:tcPr>
            <w:tcW w:w="567" w:type="dxa"/>
            <w:tcBorders>
              <w:top w:val="nil"/>
              <w:left w:val="single" w:sz="8" w:space="0" w:color="auto"/>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4</w:t>
            </w:r>
          </w:p>
        </w:tc>
        <w:tc>
          <w:tcPr>
            <w:tcW w:w="22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CURRENCY FUTURES</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241 234</w:t>
            </w:r>
          </w:p>
        </w:tc>
        <w:tc>
          <w:tcPr>
            <w:tcW w:w="105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17 210</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1301,71%</w:t>
            </w:r>
          </w:p>
        </w:tc>
        <w:tc>
          <w:tcPr>
            <w:tcW w:w="1171" w:type="dxa"/>
            <w:tcBorders>
              <w:top w:val="nil"/>
              <w:left w:val="single" w:sz="8" w:space="0" w:color="auto"/>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676 089</w:t>
            </w:r>
          </w:p>
        </w:tc>
        <w:tc>
          <w:tcPr>
            <w:tcW w:w="117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57 513</w:t>
            </w:r>
          </w:p>
        </w:tc>
        <w:tc>
          <w:tcPr>
            <w:tcW w:w="980"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1075,54%</w:t>
            </w:r>
          </w:p>
        </w:tc>
        <w:tc>
          <w:tcPr>
            <w:tcW w:w="157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1 579 511</w:t>
            </w:r>
          </w:p>
        </w:tc>
        <w:tc>
          <w:tcPr>
            <w:tcW w:w="114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960 935</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64,37%</w:t>
            </w:r>
          </w:p>
        </w:tc>
        <w:tc>
          <w:tcPr>
            <w:tcW w:w="1038"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36 732</w:t>
            </w:r>
          </w:p>
        </w:tc>
        <w:tc>
          <w:tcPr>
            <w:tcW w:w="993"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1 885</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1848,65%</w:t>
            </w:r>
          </w:p>
        </w:tc>
      </w:tr>
      <w:tr w:rsidR="006B67F2" w:rsidRPr="008C2AF9" w:rsidTr="00CB3796">
        <w:trPr>
          <w:trHeight w:val="285"/>
        </w:trPr>
        <w:tc>
          <w:tcPr>
            <w:tcW w:w="567" w:type="dxa"/>
            <w:tcBorders>
              <w:top w:val="nil"/>
              <w:left w:val="single" w:sz="8" w:space="0" w:color="auto"/>
              <w:bottom w:val="dotted" w:sz="4" w:space="0" w:color="auto"/>
              <w:right w:val="single" w:sz="8" w:space="0" w:color="auto"/>
            </w:tcBorders>
            <w:shd w:val="clear" w:color="000000" w:fill="FFFFFF"/>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w:t>
            </w:r>
          </w:p>
        </w:tc>
        <w:tc>
          <w:tcPr>
            <w:tcW w:w="2292" w:type="dxa"/>
            <w:tcBorders>
              <w:top w:val="nil"/>
              <w:left w:val="nil"/>
              <w:bottom w:val="dotted" w:sz="4" w:space="0" w:color="auto"/>
              <w:right w:val="single" w:sz="8" w:space="0" w:color="auto"/>
            </w:tcBorders>
            <w:shd w:val="clear" w:color="000000" w:fill="FFFFFF"/>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WIG20 OPTIONS</w:t>
            </w:r>
          </w:p>
        </w:tc>
        <w:tc>
          <w:tcPr>
            <w:tcW w:w="1053"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74 361</w:t>
            </w:r>
          </w:p>
        </w:tc>
        <w:tc>
          <w:tcPr>
            <w:tcW w:w="1053"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64 332</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15,59%</w:t>
            </w:r>
          </w:p>
        </w:tc>
        <w:tc>
          <w:tcPr>
            <w:tcW w:w="1171" w:type="dxa"/>
            <w:tcBorders>
              <w:top w:val="nil"/>
              <w:left w:val="single" w:sz="8" w:space="0" w:color="auto"/>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186 118</w:t>
            </w:r>
          </w:p>
        </w:tc>
        <w:tc>
          <w:tcPr>
            <w:tcW w:w="1171" w:type="dxa"/>
            <w:tcBorders>
              <w:top w:val="nil"/>
              <w:left w:val="nil"/>
              <w:bottom w:val="dotted" w:sz="4"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142 844</w:t>
            </w:r>
          </w:p>
        </w:tc>
        <w:tc>
          <w:tcPr>
            <w:tcW w:w="980"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30,29%</w:t>
            </w:r>
          </w:p>
        </w:tc>
        <w:tc>
          <w:tcPr>
            <w:tcW w:w="1573"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758 638</w:t>
            </w:r>
          </w:p>
        </w:tc>
        <w:tc>
          <w:tcPr>
            <w:tcW w:w="1141"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715 364</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6,05%</w:t>
            </w:r>
          </w:p>
        </w:tc>
        <w:tc>
          <w:tcPr>
            <w:tcW w:w="1038"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35 833</w:t>
            </w:r>
          </w:p>
        </w:tc>
        <w:tc>
          <w:tcPr>
            <w:tcW w:w="993" w:type="dxa"/>
            <w:tcBorders>
              <w:top w:val="nil"/>
              <w:left w:val="nil"/>
              <w:bottom w:val="dotted" w:sz="4" w:space="0" w:color="auto"/>
              <w:right w:val="dotted" w:sz="4" w:space="0" w:color="auto"/>
            </w:tcBorders>
            <w:shd w:val="clear" w:color="000000" w:fill="FFFFFF"/>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25 176</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42,33%</w:t>
            </w:r>
          </w:p>
        </w:tc>
      </w:tr>
      <w:tr w:rsidR="006B67F2" w:rsidRPr="008C2AF9" w:rsidTr="00CB3796">
        <w:trPr>
          <w:trHeight w:val="48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6B67F2" w:rsidRPr="008C2AF9" w:rsidRDefault="006B67F2" w:rsidP="006B67F2">
            <w:pPr>
              <w:spacing w:after="0" w:line="240" w:lineRule="auto"/>
              <w:jc w:val="center"/>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w:t>
            </w:r>
          </w:p>
        </w:tc>
        <w:tc>
          <w:tcPr>
            <w:tcW w:w="2292" w:type="dxa"/>
            <w:tcBorders>
              <w:top w:val="nil"/>
              <w:left w:val="nil"/>
              <w:bottom w:val="single" w:sz="8" w:space="0" w:color="auto"/>
              <w:right w:val="single" w:sz="8" w:space="0" w:color="auto"/>
            </w:tcBorders>
            <w:shd w:val="clear" w:color="auto" w:fill="auto"/>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INDEX PARTICIPATION UNITS</w:t>
            </w:r>
          </w:p>
        </w:tc>
        <w:tc>
          <w:tcPr>
            <w:tcW w:w="1053"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1 010</w:t>
            </w:r>
          </w:p>
        </w:tc>
        <w:tc>
          <w:tcPr>
            <w:tcW w:w="1053"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2 075</w:t>
            </w:r>
          </w:p>
        </w:tc>
        <w:tc>
          <w:tcPr>
            <w:tcW w:w="1078" w:type="dxa"/>
            <w:tcBorders>
              <w:top w:val="nil"/>
              <w:left w:val="nil"/>
              <w:bottom w:val="dotted" w:sz="4" w:space="0" w:color="auto"/>
              <w:right w:val="nil"/>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-51,33%</w:t>
            </w:r>
          </w:p>
        </w:tc>
        <w:tc>
          <w:tcPr>
            <w:tcW w:w="1171" w:type="dxa"/>
            <w:tcBorders>
              <w:top w:val="nil"/>
              <w:left w:val="single" w:sz="8" w:space="0" w:color="auto"/>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1 942</w:t>
            </w:r>
          </w:p>
        </w:tc>
        <w:tc>
          <w:tcPr>
            <w:tcW w:w="1171"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5 364</w:t>
            </w:r>
          </w:p>
        </w:tc>
        <w:tc>
          <w:tcPr>
            <w:tcW w:w="980" w:type="dxa"/>
            <w:tcBorders>
              <w:top w:val="nil"/>
              <w:left w:val="nil"/>
              <w:bottom w:val="single" w:sz="8"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-63,80%</w:t>
            </w:r>
          </w:p>
        </w:tc>
        <w:tc>
          <w:tcPr>
            <w:tcW w:w="1573" w:type="dxa"/>
            <w:tcBorders>
              <w:top w:val="nil"/>
              <w:left w:val="nil"/>
              <w:bottom w:val="nil"/>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25 188</w:t>
            </w:r>
          </w:p>
        </w:tc>
        <w:tc>
          <w:tcPr>
            <w:tcW w:w="1141"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28 610</w:t>
            </w:r>
          </w:p>
        </w:tc>
        <w:tc>
          <w:tcPr>
            <w:tcW w:w="1058"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-11,96%</w:t>
            </w:r>
          </w:p>
        </w:tc>
        <w:tc>
          <w:tcPr>
            <w:tcW w:w="1038"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10 520</w:t>
            </w:r>
          </w:p>
        </w:tc>
        <w:tc>
          <w:tcPr>
            <w:tcW w:w="993" w:type="dxa"/>
            <w:tcBorders>
              <w:top w:val="nil"/>
              <w:left w:val="nil"/>
              <w:bottom w:val="single" w:sz="8" w:space="0" w:color="auto"/>
              <w:right w:val="dotted" w:sz="4"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11 744</w:t>
            </w:r>
          </w:p>
        </w:tc>
        <w:tc>
          <w:tcPr>
            <w:tcW w:w="992" w:type="dxa"/>
            <w:tcBorders>
              <w:top w:val="nil"/>
              <w:left w:val="nil"/>
              <w:bottom w:val="dotted" w:sz="4" w:space="0" w:color="auto"/>
              <w:right w:val="single" w:sz="8" w:space="0" w:color="auto"/>
            </w:tcBorders>
            <w:shd w:val="clear" w:color="auto" w:fill="auto"/>
            <w:vAlign w:val="bottom"/>
            <w:hideMark/>
          </w:tcPr>
          <w:p w:rsidR="006B67F2" w:rsidRPr="008C2AF9" w:rsidRDefault="006B67F2" w:rsidP="006B67F2">
            <w:pPr>
              <w:spacing w:after="0" w:line="240" w:lineRule="auto"/>
              <w:jc w:val="right"/>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-10,42%</w:t>
            </w:r>
          </w:p>
        </w:tc>
      </w:tr>
      <w:tr w:rsidR="006B67F2" w:rsidRPr="008C2AF9" w:rsidTr="00CB3796">
        <w:trPr>
          <w:trHeight w:val="300"/>
        </w:trPr>
        <w:tc>
          <w:tcPr>
            <w:tcW w:w="567" w:type="dxa"/>
            <w:tcBorders>
              <w:top w:val="nil"/>
              <w:left w:val="single" w:sz="8" w:space="0" w:color="auto"/>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rPr>
                <w:rFonts w:ascii="Arial" w:eastAsia="Times New Roman" w:hAnsi="Arial" w:cs="Arial"/>
                <w:color w:val="000000"/>
                <w:sz w:val="18"/>
                <w:szCs w:val="18"/>
                <w:lang w:eastAsia="pl-PL"/>
              </w:rPr>
            </w:pPr>
            <w:r w:rsidRPr="008C2AF9">
              <w:rPr>
                <w:rFonts w:ascii="Arial" w:eastAsia="Times New Roman" w:hAnsi="Arial" w:cs="Arial"/>
                <w:color w:val="000000"/>
                <w:sz w:val="18"/>
                <w:szCs w:val="18"/>
                <w:lang w:eastAsia="pl-PL"/>
              </w:rPr>
              <w:t> </w:t>
            </w:r>
          </w:p>
        </w:tc>
        <w:tc>
          <w:tcPr>
            <w:tcW w:w="2292" w:type="dxa"/>
            <w:tcBorders>
              <w:top w:val="nil"/>
              <w:left w:val="nil"/>
              <w:bottom w:val="single" w:sz="8" w:space="0" w:color="auto"/>
              <w:right w:val="single" w:sz="8" w:space="0" w:color="auto"/>
            </w:tcBorders>
            <w:shd w:val="clear" w:color="000000" w:fill="538ED5"/>
            <w:vAlign w:val="bottom"/>
            <w:hideMark/>
          </w:tcPr>
          <w:p w:rsidR="006B67F2" w:rsidRPr="008C2AF9" w:rsidRDefault="00A06253" w:rsidP="006B67F2">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TOTAL</w:t>
            </w:r>
          </w:p>
        </w:tc>
        <w:tc>
          <w:tcPr>
            <w:tcW w:w="1053"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1 291 712</w:t>
            </w:r>
          </w:p>
        </w:tc>
        <w:tc>
          <w:tcPr>
            <w:tcW w:w="1053"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1 083 706</w:t>
            </w:r>
          </w:p>
        </w:tc>
        <w:tc>
          <w:tcPr>
            <w:tcW w:w="1078" w:type="dxa"/>
            <w:tcBorders>
              <w:top w:val="single" w:sz="8" w:space="0" w:color="auto"/>
              <w:left w:val="nil"/>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19,19%</w:t>
            </w:r>
          </w:p>
        </w:tc>
        <w:tc>
          <w:tcPr>
            <w:tcW w:w="1171"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3 165 661</w:t>
            </w:r>
          </w:p>
        </w:tc>
        <w:tc>
          <w:tcPr>
            <w:tcW w:w="1171"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2 758 336</w:t>
            </w:r>
          </w:p>
        </w:tc>
        <w:tc>
          <w:tcPr>
            <w:tcW w:w="980" w:type="dxa"/>
            <w:tcBorders>
              <w:top w:val="nil"/>
              <w:left w:val="nil"/>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14,77%</w:t>
            </w:r>
          </w:p>
        </w:tc>
        <w:tc>
          <w:tcPr>
            <w:tcW w:w="1573" w:type="dxa"/>
            <w:tcBorders>
              <w:top w:val="single" w:sz="8" w:space="0" w:color="auto"/>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11 743 652</w:t>
            </w:r>
          </w:p>
        </w:tc>
        <w:tc>
          <w:tcPr>
            <w:tcW w:w="1141"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11 336 327</w:t>
            </w:r>
          </w:p>
        </w:tc>
        <w:tc>
          <w:tcPr>
            <w:tcW w:w="1058" w:type="dxa"/>
            <w:tcBorders>
              <w:top w:val="single" w:sz="8" w:space="0" w:color="auto"/>
              <w:left w:val="nil"/>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3,59%</w:t>
            </w:r>
          </w:p>
        </w:tc>
        <w:tc>
          <w:tcPr>
            <w:tcW w:w="1038"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211 695</w:t>
            </w:r>
          </w:p>
        </w:tc>
        <w:tc>
          <w:tcPr>
            <w:tcW w:w="993" w:type="dxa"/>
            <w:tcBorders>
              <w:top w:val="nil"/>
              <w:left w:val="nil"/>
              <w:bottom w:val="single" w:sz="8" w:space="0" w:color="auto"/>
              <w:right w:val="dotted" w:sz="4"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148 144</w:t>
            </w:r>
          </w:p>
        </w:tc>
        <w:tc>
          <w:tcPr>
            <w:tcW w:w="992" w:type="dxa"/>
            <w:tcBorders>
              <w:top w:val="single" w:sz="8" w:space="0" w:color="auto"/>
              <w:left w:val="nil"/>
              <w:bottom w:val="single" w:sz="8" w:space="0" w:color="auto"/>
              <w:right w:val="single" w:sz="8" w:space="0" w:color="auto"/>
            </w:tcBorders>
            <w:shd w:val="clear" w:color="000000" w:fill="538ED5"/>
            <w:vAlign w:val="bottom"/>
            <w:hideMark/>
          </w:tcPr>
          <w:p w:rsidR="006B67F2" w:rsidRPr="008C2AF9" w:rsidRDefault="006B67F2" w:rsidP="006B67F2">
            <w:pPr>
              <w:spacing w:after="0" w:line="240" w:lineRule="auto"/>
              <w:jc w:val="right"/>
              <w:rPr>
                <w:rFonts w:ascii="Arial" w:eastAsia="Times New Roman" w:hAnsi="Arial" w:cs="Arial"/>
                <w:b/>
                <w:bCs/>
                <w:color w:val="000000"/>
                <w:sz w:val="18"/>
                <w:szCs w:val="18"/>
                <w:lang w:eastAsia="pl-PL"/>
              </w:rPr>
            </w:pPr>
            <w:r w:rsidRPr="008C2AF9">
              <w:rPr>
                <w:rFonts w:ascii="Arial" w:eastAsia="Times New Roman" w:hAnsi="Arial" w:cs="Arial"/>
                <w:b/>
                <w:bCs/>
                <w:color w:val="000000"/>
                <w:sz w:val="18"/>
                <w:szCs w:val="18"/>
                <w:lang w:eastAsia="pl-PL"/>
              </w:rPr>
              <w:t>42,90%</w:t>
            </w:r>
          </w:p>
        </w:tc>
      </w:tr>
    </w:tbl>
    <w:p w:rsidR="008C2AF9" w:rsidRDefault="008C2AF9" w:rsidP="00590163">
      <w:pPr>
        <w:jc w:val="both"/>
        <w:rPr>
          <w:rFonts w:ascii="Arial" w:hAnsi="Arial" w:cs="Arial"/>
          <w:sz w:val="20"/>
          <w:szCs w:val="20"/>
          <w:lang w:val="en-US"/>
        </w:rPr>
      </w:pPr>
    </w:p>
    <w:p w:rsidR="00590163" w:rsidRPr="004D304C" w:rsidRDefault="00590163" w:rsidP="00590163">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 xml:space="preserve">* </w:t>
      </w:r>
      <w:r w:rsidR="00052D57" w:rsidRPr="004D304C">
        <w:rPr>
          <w:rFonts w:ascii="Arial" w:eastAsia="Times New Roman" w:hAnsi="Arial" w:cs="Arial"/>
          <w:color w:val="595959" w:themeColor="text1" w:themeTint="A6"/>
          <w:sz w:val="18"/>
          <w:szCs w:val="18"/>
          <w:lang w:val="en-US" w:eastAsia="pl-PL"/>
        </w:rPr>
        <w:t>The statistics of currency futures contracts include the change of the standard specification of currency futures as of 1 May 2012 whereby the size of such contracts was divided by 10. The volume of trading in currency futur</w:t>
      </w:r>
      <w:r w:rsidR="00B625C1" w:rsidRPr="004D304C">
        <w:rPr>
          <w:rFonts w:ascii="Arial" w:eastAsia="Times New Roman" w:hAnsi="Arial" w:cs="Arial"/>
          <w:color w:val="595959" w:themeColor="text1" w:themeTint="A6"/>
          <w:sz w:val="18"/>
          <w:szCs w:val="18"/>
          <w:lang w:val="en-US" w:eastAsia="pl-PL"/>
        </w:rPr>
        <w:t>e</w:t>
      </w:r>
      <w:r w:rsidR="006B67F2" w:rsidRPr="004D304C">
        <w:rPr>
          <w:rFonts w:ascii="Arial" w:eastAsia="Times New Roman" w:hAnsi="Arial" w:cs="Arial"/>
          <w:color w:val="595959" w:themeColor="text1" w:themeTint="A6"/>
          <w:sz w:val="18"/>
          <w:szCs w:val="18"/>
          <w:lang w:val="en-US" w:eastAsia="pl-PL"/>
        </w:rPr>
        <w:t>s contracts reported in March</w:t>
      </w:r>
      <w:r w:rsidR="00052D57" w:rsidRPr="004D304C">
        <w:rPr>
          <w:rFonts w:ascii="Arial" w:eastAsia="Times New Roman" w:hAnsi="Arial" w:cs="Arial"/>
          <w:color w:val="595959" w:themeColor="text1" w:themeTint="A6"/>
          <w:sz w:val="18"/>
          <w:szCs w:val="18"/>
          <w:lang w:val="en-US" w:eastAsia="pl-PL"/>
        </w:rPr>
        <w:t xml:space="preserve"> 2013 converted to the contract size before the change </w:t>
      </w:r>
      <w:r w:rsidR="00B77140" w:rsidRPr="004D304C">
        <w:rPr>
          <w:rFonts w:ascii="Arial" w:eastAsia="Times New Roman" w:hAnsi="Arial" w:cs="Arial"/>
          <w:color w:val="595959" w:themeColor="text1" w:themeTint="A6"/>
          <w:sz w:val="18"/>
          <w:szCs w:val="18"/>
          <w:lang w:val="en-US" w:eastAsia="pl-PL"/>
        </w:rPr>
        <w:t>would be equal to</w:t>
      </w:r>
      <w:r w:rsidR="006B67F2" w:rsidRPr="004D304C">
        <w:rPr>
          <w:rFonts w:ascii="Arial" w:eastAsia="Times New Roman" w:hAnsi="Arial" w:cs="Arial"/>
          <w:color w:val="595959" w:themeColor="text1" w:themeTint="A6"/>
          <w:sz w:val="18"/>
          <w:szCs w:val="18"/>
          <w:lang w:val="en-US" w:eastAsia="pl-PL"/>
        </w:rPr>
        <w:t xml:space="preserve"> 24,123</w:t>
      </w:r>
      <w:r w:rsidR="00052D57" w:rsidRPr="004D304C">
        <w:rPr>
          <w:rFonts w:ascii="Arial" w:eastAsia="Times New Roman" w:hAnsi="Arial" w:cs="Arial"/>
          <w:color w:val="595959" w:themeColor="text1" w:themeTint="A6"/>
          <w:sz w:val="18"/>
          <w:szCs w:val="18"/>
          <w:lang w:val="en-US" w:eastAsia="pl-PL"/>
        </w:rPr>
        <w:t xml:space="preserve"> contracts. </w:t>
      </w:r>
    </w:p>
    <w:p w:rsidR="0053777A" w:rsidRPr="008C2AF9" w:rsidRDefault="0053777A" w:rsidP="002C6CF6">
      <w:pPr>
        <w:rPr>
          <w:rFonts w:ascii="Arial" w:hAnsi="Arial" w:cs="Arial"/>
          <w:color w:val="666666"/>
          <w:sz w:val="18"/>
          <w:szCs w:val="18"/>
          <w:lang w:val="en-US"/>
        </w:rPr>
        <w:sectPr w:rsidR="0053777A" w:rsidRPr="008C2AF9" w:rsidSect="002C6CF6">
          <w:pgSz w:w="16838" w:h="11906" w:orient="landscape"/>
          <w:pgMar w:top="1843" w:right="1135" w:bottom="1700" w:left="1843" w:header="709" w:footer="709" w:gutter="0"/>
          <w:cols w:space="708"/>
          <w:titlePg/>
          <w:docGrid w:linePitch="360"/>
        </w:sectPr>
      </w:pPr>
    </w:p>
    <w:p w:rsidR="00252078" w:rsidRPr="004D304C" w:rsidRDefault="00AF5D14" w:rsidP="008C2AF9">
      <w:pPr>
        <w:jc w:val="both"/>
        <w:rPr>
          <w:rFonts w:ascii="Arial" w:eastAsia="Times New Roman" w:hAnsi="Arial" w:cs="Arial"/>
          <w:b/>
          <w:color w:val="595959" w:themeColor="text1" w:themeTint="A6"/>
          <w:sz w:val="18"/>
          <w:szCs w:val="18"/>
          <w:lang w:val="en-US" w:eastAsia="pl-PL"/>
        </w:rPr>
      </w:pPr>
      <w:r w:rsidRPr="004D304C">
        <w:rPr>
          <w:rFonts w:ascii="Arial" w:eastAsia="Times New Roman" w:hAnsi="Arial" w:cs="Arial"/>
          <w:b/>
          <w:color w:val="595959" w:themeColor="text1" w:themeTint="A6"/>
          <w:sz w:val="18"/>
          <w:szCs w:val="18"/>
          <w:lang w:val="en-US" w:eastAsia="pl-PL"/>
        </w:rPr>
        <w:lastRenderedPageBreak/>
        <w:t>Figure</w:t>
      </w:r>
      <w:r w:rsidR="00252078" w:rsidRPr="004D304C">
        <w:rPr>
          <w:rFonts w:ascii="Arial" w:eastAsia="Times New Roman" w:hAnsi="Arial" w:cs="Arial"/>
          <w:b/>
          <w:color w:val="595959" w:themeColor="text1" w:themeTint="A6"/>
          <w:sz w:val="18"/>
          <w:szCs w:val="18"/>
          <w:lang w:val="en-US" w:eastAsia="pl-PL"/>
        </w:rPr>
        <w:t xml:space="preserve"> 1</w:t>
      </w:r>
    </w:p>
    <w:p w:rsidR="00252078" w:rsidRPr="004D304C" w:rsidRDefault="00AF5D14" w:rsidP="00252078">
      <w:pPr>
        <w:jc w:val="both"/>
        <w:rPr>
          <w:rFonts w:ascii="Arial" w:eastAsia="Times New Roman" w:hAnsi="Arial" w:cs="Arial"/>
          <w:color w:val="595959" w:themeColor="text1" w:themeTint="A6"/>
          <w:sz w:val="18"/>
          <w:szCs w:val="18"/>
          <w:lang w:val="en-US" w:eastAsia="pl-PL"/>
        </w:rPr>
      </w:pPr>
      <w:r w:rsidRPr="004D304C">
        <w:rPr>
          <w:rFonts w:ascii="Arial" w:eastAsia="Times New Roman" w:hAnsi="Arial" w:cs="Arial"/>
          <w:color w:val="595959" w:themeColor="text1" w:themeTint="A6"/>
          <w:sz w:val="18"/>
          <w:szCs w:val="18"/>
          <w:lang w:val="en-US" w:eastAsia="pl-PL"/>
        </w:rPr>
        <w:t xml:space="preserve">Annual volume of trading (including block trades) in all derivative instruments listed on the WSE in 1998 – </w:t>
      </w:r>
      <w:r w:rsidR="006B67F2" w:rsidRPr="004D304C">
        <w:rPr>
          <w:rFonts w:ascii="Arial" w:eastAsia="Times New Roman" w:hAnsi="Arial" w:cs="Arial"/>
          <w:color w:val="595959" w:themeColor="text1" w:themeTint="A6"/>
          <w:sz w:val="18"/>
          <w:szCs w:val="18"/>
          <w:lang w:val="en-US" w:eastAsia="pl-PL"/>
        </w:rPr>
        <w:t>March</w:t>
      </w:r>
      <w:r w:rsidR="00837EA3" w:rsidRPr="004D304C">
        <w:rPr>
          <w:rFonts w:ascii="Arial" w:eastAsia="Times New Roman" w:hAnsi="Arial" w:cs="Arial"/>
          <w:color w:val="595959" w:themeColor="text1" w:themeTint="A6"/>
          <w:sz w:val="18"/>
          <w:szCs w:val="18"/>
          <w:lang w:val="en-US" w:eastAsia="pl-PL"/>
        </w:rPr>
        <w:t xml:space="preserve"> 2013</w:t>
      </w:r>
      <w:r w:rsidRPr="004D304C">
        <w:rPr>
          <w:rFonts w:ascii="Arial" w:eastAsia="Times New Roman" w:hAnsi="Arial" w:cs="Arial"/>
          <w:color w:val="595959" w:themeColor="text1" w:themeTint="A6"/>
          <w:sz w:val="18"/>
          <w:szCs w:val="18"/>
          <w:lang w:val="en-US" w:eastAsia="pl-PL"/>
        </w:rPr>
        <w:t xml:space="preserve"> (million instruments).</w:t>
      </w:r>
    </w:p>
    <w:p w:rsidR="00252078" w:rsidRPr="008C2AF9" w:rsidRDefault="006B67F2" w:rsidP="00252078">
      <w:pPr>
        <w:rPr>
          <w:rFonts w:ascii="Arial" w:hAnsi="Arial" w:cs="Arial"/>
          <w:b/>
          <w:sz w:val="20"/>
          <w:szCs w:val="20"/>
          <w:lang w:val="en-GB"/>
        </w:rPr>
      </w:pPr>
      <w:r w:rsidRPr="008C2AF9">
        <w:rPr>
          <w:rFonts w:ascii="Arial" w:hAnsi="Arial" w:cs="Arial"/>
          <w:b/>
          <w:noProof/>
          <w:sz w:val="20"/>
          <w:szCs w:val="20"/>
          <w:lang w:val="en-GB" w:eastAsia="en-GB"/>
        </w:rPr>
        <w:drawing>
          <wp:inline distT="0" distB="0" distL="0" distR="0">
            <wp:extent cx="5310505" cy="2278673"/>
            <wp:effectExtent l="19050" t="0" r="23495" b="7327"/>
            <wp:docPr id="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078" w:rsidRPr="004D304C" w:rsidRDefault="00AF5D14" w:rsidP="009A0808">
      <w:pPr>
        <w:jc w:val="both"/>
        <w:rPr>
          <w:rFonts w:ascii="Arial" w:eastAsia="Times New Roman" w:hAnsi="Arial" w:cs="Arial"/>
          <w:b/>
          <w:color w:val="595959" w:themeColor="text1" w:themeTint="A6"/>
          <w:sz w:val="18"/>
          <w:szCs w:val="18"/>
          <w:lang w:val="en-US" w:eastAsia="pl-PL"/>
        </w:rPr>
      </w:pPr>
      <w:r w:rsidRPr="004D304C">
        <w:rPr>
          <w:rFonts w:ascii="Arial" w:eastAsia="Times New Roman" w:hAnsi="Arial" w:cs="Arial"/>
          <w:b/>
          <w:color w:val="595959" w:themeColor="text1" w:themeTint="A6"/>
          <w:sz w:val="18"/>
          <w:szCs w:val="18"/>
          <w:lang w:val="en-US" w:eastAsia="pl-PL"/>
        </w:rPr>
        <w:t>Figure</w:t>
      </w:r>
      <w:r w:rsidR="00252078" w:rsidRPr="004D304C">
        <w:rPr>
          <w:rFonts w:ascii="Arial" w:eastAsia="Times New Roman" w:hAnsi="Arial" w:cs="Arial"/>
          <w:b/>
          <w:color w:val="595959" w:themeColor="text1" w:themeTint="A6"/>
          <w:sz w:val="18"/>
          <w:szCs w:val="18"/>
          <w:lang w:val="en-US" w:eastAsia="pl-PL"/>
        </w:rPr>
        <w:t xml:space="preserve"> 2</w:t>
      </w:r>
    </w:p>
    <w:p w:rsidR="00252078" w:rsidRPr="004D304C" w:rsidRDefault="00AF5D14" w:rsidP="00252078">
      <w:pPr>
        <w:jc w:val="both"/>
        <w:rPr>
          <w:rFonts w:ascii="Arial" w:eastAsia="Times New Roman" w:hAnsi="Arial" w:cs="Arial"/>
          <w:color w:val="595959" w:themeColor="text1" w:themeTint="A6"/>
          <w:sz w:val="18"/>
          <w:szCs w:val="18"/>
          <w:lang w:val="en-US" w:eastAsia="pl-PL"/>
        </w:rPr>
      </w:pPr>
      <w:proofErr w:type="gramStart"/>
      <w:r w:rsidRPr="004D304C">
        <w:rPr>
          <w:rFonts w:ascii="Arial" w:eastAsia="Times New Roman" w:hAnsi="Arial" w:cs="Arial"/>
          <w:color w:val="595959" w:themeColor="text1" w:themeTint="A6"/>
          <w:sz w:val="18"/>
          <w:szCs w:val="18"/>
          <w:lang w:val="en-US" w:eastAsia="pl-PL"/>
        </w:rPr>
        <w:t xml:space="preserve">Total number of open interest in all derivative instruments at year-end and at the end of </w:t>
      </w:r>
      <w:r w:rsidR="00F318E7" w:rsidRPr="004D304C">
        <w:rPr>
          <w:rFonts w:ascii="Arial" w:eastAsia="Times New Roman" w:hAnsi="Arial" w:cs="Arial"/>
          <w:color w:val="595959" w:themeColor="text1" w:themeTint="A6"/>
          <w:sz w:val="18"/>
          <w:szCs w:val="18"/>
          <w:lang w:val="en-US" w:eastAsia="pl-PL"/>
        </w:rPr>
        <w:t>March</w:t>
      </w:r>
      <w:r w:rsidR="00837EA3" w:rsidRPr="004D304C">
        <w:rPr>
          <w:rFonts w:ascii="Arial" w:eastAsia="Times New Roman" w:hAnsi="Arial" w:cs="Arial"/>
          <w:color w:val="595959" w:themeColor="text1" w:themeTint="A6"/>
          <w:sz w:val="18"/>
          <w:szCs w:val="18"/>
          <w:lang w:val="en-US" w:eastAsia="pl-PL"/>
        </w:rPr>
        <w:t xml:space="preserve"> 2013</w:t>
      </w:r>
      <w:r w:rsidRPr="004D304C">
        <w:rPr>
          <w:rFonts w:ascii="Arial" w:eastAsia="Times New Roman" w:hAnsi="Arial" w:cs="Arial"/>
          <w:color w:val="595959" w:themeColor="text1" w:themeTint="A6"/>
          <w:sz w:val="18"/>
          <w:szCs w:val="18"/>
          <w:lang w:val="en-US" w:eastAsia="pl-PL"/>
        </w:rPr>
        <w:t xml:space="preserve"> (thousand instruments).</w:t>
      </w:r>
      <w:proofErr w:type="gramEnd"/>
    </w:p>
    <w:p w:rsidR="00252078" w:rsidRPr="008C2AF9" w:rsidRDefault="00F318E7" w:rsidP="00252078">
      <w:pPr>
        <w:jc w:val="both"/>
        <w:rPr>
          <w:rFonts w:ascii="Arial" w:hAnsi="Arial" w:cs="Arial"/>
          <w:sz w:val="20"/>
          <w:szCs w:val="20"/>
          <w:lang w:val="en-GB"/>
        </w:rPr>
      </w:pPr>
      <w:r w:rsidRPr="008C2AF9">
        <w:rPr>
          <w:rFonts w:ascii="Arial" w:hAnsi="Arial" w:cs="Arial"/>
          <w:noProof/>
          <w:sz w:val="20"/>
          <w:szCs w:val="20"/>
          <w:lang w:val="en-GB" w:eastAsia="en-GB"/>
        </w:rPr>
        <w:drawing>
          <wp:inline distT="0" distB="0" distL="0" distR="0">
            <wp:extent cx="5310505" cy="3483502"/>
            <wp:effectExtent l="19050" t="0" r="23495" b="2648"/>
            <wp:docPr id="6"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5D14" w:rsidRPr="008C2AF9" w:rsidRDefault="00AF5D14" w:rsidP="00317A48">
      <w:pPr>
        <w:spacing w:after="0" w:line="240" w:lineRule="auto"/>
        <w:rPr>
          <w:rFonts w:ascii="Arial" w:hAnsi="Arial" w:cs="Arial"/>
          <w:color w:val="666666"/>
          <w:sz w:val="18"/>
          <w:szCs w:val="18"/>
          <w:lang w:val="en-GB"/>
        </w:rPr>
      </w:pPr>
    </w:p>
    <w:sectPr w:rsidR="00AF5D14" w:rsidRPr="008C2AF9" w:rsidSect="00252078">
      <w:pgSz w:w="11906" w:h="16838"/>
      <w:pgMar w:top="1135" w:right="1700" w:bottom="1843"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498" w:rsidRDefault="009A1498" w:rsidP="0086331F">
      <w:pPr>
        <w:spacing w:after="0" w:line="240" w:lineRule="auto"/>
      </w:pPr>
      <w:r>
        <w:separator/>
      </w:r>
    </w:p>
  </w:endnote>
  <w:endnote w:type="continuationSeparator" w:id="0">
    <w:p w:rsidR="009A1498" w:rsidRDefault="009A1498"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E9" w:rsidRDefault="00920FE9" w:rsidP="0040019F">
    <w:pPr>
      <w:pStyle w:val="Footer"/>
      <w:rPr>
        <w:rFonts w:ascii="Verdana" w:hAnsi="Verdana" w:cs="Arial"/>
        <w:b/>
        <w:color w:val="808080" w:themeColor="background1" w:themeShade="80"/>
        <w:sz w:val="18"/>
        <w:szCs w:val="18"/>
      </w:rPr>
    </w:pPr>
  </w:p>
  <w:p w:rsidR="00920FE9" w:rsidRPr="004E5B5C" w:rsidRDefault="00920FE9" w:rsidP="00B221A5">
    <w:pPr>
      <w:pStyle w:val="Footer"/>
      <w:ind w:right="-284" w:hanging="284"/>
      <w:rPr>
        <w:rFonts w:ascii="Verdana" w:hAnsi="Verdana" w:cs="Arial"/>
        <w:b/>
        <w:color w:val="808080" w:themeColor="background1" w:themeShade="80"/>
        <w:sz w:val="18"/>
        <w:szCs w:val="18"/>
        <w:lang w:val="en-US"/>
      </w:rPr>
    </w:pPr>
    <w:r w:rsidRPr="004E5B5C">
      <w:rPr>
        <w:rFonts w:ascii="Verdana" w:hAnsi="Verdana" w:cs="Arial"/>
        <w:b/>
        <w:color w:val="808080" w:themeColor="background1" w:themeShade="80"/>
        <w:sz w:val="18"/>
        <w:szCs w:val="18"/>
        <w:lang w:val="en-US"/>
      </w:rPr>
      <w:t>WSE Public Relations:</w:t>
    </w:r>
  </w:p>
  <w:p w:rsidR="00920FE9" w:rsidRPr="004E5B5C" w:rsidRDefault="00920FE9" w:rsidP="00B221A5">
    <w:pPr>
      <w:pStyle w:val="Footer"/>
      <w:ind w:right="-284" w:hanging="284"/>
      <w:rPr>
        <w:rFonts w:ascii="Verdana" w:hAnsi="Verdana" w:cs="Arial"/>
        <w:b/>
        <w:color w:val="808080" w:themeColor="background1" w:themeShade="80"/>
        <w:sz w:val="18"/>
        <w:szCs w:val="18"/>
        <w:lang w:val="en-US"/>
      </w:rPr>
    </w:pPr>
    <w:r w:rsidRPr="004E5B5C">
      <w:rPr>
        <w:rFonts w:ascii="Verdana" w:hAnsi="Verdana" w:cs="Arial"/>
        <w:b/>
        <w:color w:val="808080" w:themeColor="background1" w:themeShade="80"/>
        <w:sz w:val="18"/>
        <w:szCs w:val="18"/>
        <w:lang w:val="en-US"/>
      </w:rPr>
      <w:t xml:space="preserve">Błażej Karwowski - Director, WSE Press Spokesman: </w:t>
    </w:r>
    <w:hyperlink r:id="rId1" w:history="1">
      <w:r w:rsidRPr="004E5B5C">
        <w:rPr>
          <w:rStyle w:val="Hyperlink"/>
          <w:rFonts w:ascii="Verdana" w:hAnsi="Verdana" w:cs="Arial"/>
          <w:b/>
          <w:sz w:val="18"/>
          <w:szCs w:val="18"/>
          <w:lang w:val="en-US"/>
        </w:rPr>
        <w:t>press@gpw.pl</w:t>
      </w:r>
    </w:hyperlink>
    <w:r w:rsidRPr="004E5B5C">
      <w:rPr>
        <w:rFonts w:ascii="Verdana" w:hAnsi="Verdana" w:cs="Arial"/>
        <w:b/>
        <w:color w:val="808080" w:themeColor="background1" w:themeShade="80"/>
        <w:sz w:val="18"/>
        <w:szCs w:val="18"/>
        <w:lang w:val="en-US"/>
      </w:rPr>
      <w:t>, +48 22 537 74 71</w:t>
    </w:r>
  </w:p>
  <w:p w:rsidR="00920FE9" w:rsidRPr="00222A2C" w:rsidRDefault="00920FE9" w:rsidP="00B221A5">
    <w:pPr>
      <w:pStyle w:val="Footer"/>
      <w:ind w:right="-284" w:hanging="284"/>
      <w:rPr>
        <w:rFonts w:ascii="Verdana" w:hAnsi="Verdana"/>
        <w:sz w:val="18"/>
        <w:szCs w:val="18"/>
      </w:rPr>
    </w:pPr>
    <w:r>
      <w:rPr>
        <w:rFonts w:ascii="Verdana" w:hAnsi="Verdana" w:cs="Arial"/>
        <w:color w:val="808080" w:themeColor="background1" w:themeShade="80"/>
        <w:sz w:val="18"/>
        <w:szCs w:val="18"/>
      </w:rPr>
      <w:t>Anna Wiśniewska: +</w:t>
    </w:r>
    <w:r w:rsidRPr="00222A2C">
      <w:rPr>
        <w:rFonts w:ascii="Verdana" w:hAnsi="Verdana" w:cs="Arial"/>
        <w:color w:val="808080" w:themeColor="background1" w:themeShade="80"/>
        <w:sz w:val="18"/>
        <w:szCs w:val="18"/>
      </w:rPr>
      <w:t xml:space="preserve">48 22 537 77 17, +48 607 774 060, </w:t>
    </w:r>
    <w:hyperlink r:id="rId2" w:history="1">
      <w:r w:rsidRPr="00222A2C">
        <w:rPr>
          <w:rStyle w:val="Hyperlink"/>
          <w:rFonts w:ascii="Verdana" w:hAnsi="Verdana" w:cs="Arial"/>
          <w:sz w:val="18"/>
          <w:szCs w:val="18"/>
        </w:rPr>
        <w:t>anna.wisniewska@gpw.pl</w:t>
      </w:r>
    </w:hyperlink>
  </w:p>
  <w:p w:rsidR="00920FE9" w:rsidRPr="00222A2C" w:rsidRDefault="00920FE9" w:rsidP="00B221A5">
    <w:pPr>
      <w:pStyle w:val="Footer"/>
      <w:ind w:right="-284" w:hanging="284"/>
      <w:rPr>
        <w:rFonts w:ascii="Verdana" w:hAnsi="Verdana"/>
        <w:sz w:val="18"/>
        <w:szCs w:val="18"/>
      </w:rPr>
    </w:pPr>
    <w:r w:rsidRPr="00222A2C">
      <w:rPr>
        <w:rFonts w:ascii="Verdana" w:hAnsi="Verdana" w:cs="Arial"/>
        <w:color w:val="808080" w:themeColor="background1" w:themeShade="80"/>
        <w:sz w:val="18"/>
        <w:szCs w:val="18"/>
      </w:rPr>
      <w:t>Olga Chądzeńska</w:t>
    </w:r>
    <w:r>
      <w:rPr>
        <w:rFonts w:ascii="Verdana" w:hAnsi="Verdana" w:cs="Arial"/>
        <w:color w:val="808080" w:themeColor="background1" w:themeShade="80"/>
        <w:sz w:val="18"/>
        <w:szCs w:val="18"/>
      </w:rPr>
      <w:t>:</w:t>
    </w:r>
    <w:r w:rsidRPr="00222A2C">
      <w:rPr>
        <w:rFonts w:ascii="Verdana" w:hAnsi="Verdana" w:cs="Arial"/>
        <w:color w:val="808080" w:themeColor="background1" w:themeShade="80"/>
        <w:sz w:val="18"/>
        <w:szCs w:val="18"/>
      </w:rPr>
      <w:t xml:space="preserve"> +48 22 537 78 99, +48 603 366 808, </w:t>
    </w:r>
    <w:hyperlink r:id="rId3" w:history="1">
      <w:r w:rsidRPr="00840AA6">
        <w:rPr>
          <w:rStyle w:val="Hyperlink"/>
          <w:rFonts w:ascii="Verdana" w:hAnsi="Verdana" w:cs="Arial"/>
          <w:sz w:val="18"/>
          <w:szCs w:val="18"/>
        </w:rPr>
        <w:t>olga.chadzenska@gpw.pl</w:t>
      </w:r>
    </w:hyperlink>
  </w:p>
  <w:p w:rsidR="00920FE9" w:rsidRPr="00572758" w:rsidRDefault="00920FE9" w:rsidP="00B221A5">
    <w:pPr>
      <w:pStyle w:val="Footer"/>
      <w:ind w:right="-284" w:hanging="284"/>
      <w:rPr>
        <w:rFonts w:ascii="Verdana" w:hAnsi="Verdana" w:cs="Arial"/>
        <w:color w:val="808080" w:themeColor="background1" w:themeShade="80"/>
        <w:sz w:val="18"/>
        <w:szCs w:val="18"/>
      </w:rPr>
    </w:pPr>
    <w:r w:rsidRPr="00222A2C">
      <w:rPr>
        <w:rFonts w:ascii="Verdana" w:hAnsi="Verdana" w:cs="Arial"/>
        <w:color w:val="808080" w:themeColor="background1" w:themeShade="80"/>
        <w:sz w:val="18"/>
        <w:szCs w:val="18"/>
      </w:rPr>
      <w:t>Martyna Makiel</w:t>
    </w:r>
    <w:r>
      <w:rPr>
        <w:rFonts w:ascii="Verdana" w:hAnsi="Verdana" w:cs="Arial"/>
        <w:color w:val="808080" w:themeColor="background1" w:themeShade="80"/>
        <w:sz w:val="18"/>
        <w:szCs w:val="18"/>
      </w:rPr>
      <w:t xml:space="preserve">: </w:t>
    </w:r>
    <w:r w:rsidRPr="00222A2C">
      <w:rPr>
        <w:rFonts w:ascii="Verdana" w:hAnsi="Verdana" w:cs="Arial"/>
        <w:color w:val="808080" w:themeColor="background1" w:themeShade="80"/>
        <w:sz w:val="18"/>
        <w:szCs w:val="18"/>
      </w:rPr>
      <w:t xml:space="preserve">+48 22 537 </w:t>
    </w:r>
    <w:r>
      <w:rPr>
        <w:rFonts w:ascii="Verdana" w:hAnsi="Verdana" w:cs="Arial"/>
        <w:color w:val="808080" w:themeColor="background1" w:themeShade="80"/>
        <w:sz w:val="18"/>
        <w:szCs w:val="18"/>
      </w:rPr>
      <w:t>7089</w:t>
    </w:r>
    <w:r w:rsidRPr="00222A2C">
      <w:rPr>
        <w:rFonts w:ascii="Verdana" w:hAnsi="Verdana" w:cs="Arial"/>
        <w:color w:val="808080" w:themeColor="background1" w:themeShade="80"/>
        <w:sz w:val="18"/>
        <w:szCs w:val="18"/>
      </w:rPr>
      <w:t>, +48</w:t>
    </w:r>
    <w:r>
      <w:rPr>
        <w:rFonts w:ascii="Verdana" w:hAnsi="Verdana" w:cs="Arial"/>
        <w:color w:val="808080" w:themeColor="background1" w:themeShade="80"/>
        <w:sz w:val="18"/>
        <w:szCs w:val="18"/>
      </w:rPr>
      <w:t> </w:t>
    </w:r>
    <w:r w:rsidRPr="00222A2C">
      <w:rPr>
        <w:rFonts w:ascii="Verdana" w:hAnsi="Verdana" w:cs="Arial"/>
        <w:color w:val="808080" w:themeColor="background1" w:themeShade="80"/>
        <w:sz w:val="18"/>
        <w:szCs w:val="18"/>
      </w:rPr>
      <w:t>60</w:t>
    </w:r>
    <w:r>
      <w:rPr>
        <w:rFonts w:ascii="Verdana" w:hAnsi="Verdana" w:cs="Arial"/>
        <w:color w:val="808080" w:themeColor="background1" w:themeShade="80"/>
        <w:sz w:val="18"/>
        <w:szCs w:val="18"/>
      </w:rPr>
      <w:t>5 470 938</w:t>
    </w:r>
    <w:r w:rsidRPr="00222A2C">
      <w:rPr>
        <w:rFonts w:ascii="Verdana" w:hAnsi="Verdana" w:cs="Arial"/>
        <w:color w:val="808080" w:themeColor="background1" w:themeShade="80"/>
        <w:sz w:val="18"/>
        <w:szCs w:val="18"/>
      </w:rPr>
      <w:t xml:space="preserve">, </w:t>
    </w:r>
    <w:hyperlink r:id="rId4" w:history="1">
      <w:r w:rsidRPr="00222A2C">
        <w:rPr>
          <w:rStyle w:val="Hyperlink"/>
          <w:rFonts w:ascii="Verdana" w:hAnsi="Verdana" w:cs="Arial"/>
          <w:sz w:val="18"/>
          <w:szCs w:val="18"/>
        </w:rPr>
        <w:t>martyna.makiel@gpw.pl</w:t>
      </w:r>
    </w:hyperlink>
  </w:p>
  <w:p w:rsidR="00920FE9" w:rsidRPr="007763CA" w:rsidRDefault="00920FE9" w:rsidP="00B221A5">
    <w:pPr>
      <w:pStyle w:val="Footer"/>
      <w:ind w:right="-284" w:hanging="284"/>
      <w:rPr>
        <w:szCs w:val="18"/>
      </w:rPr>
    </w:pPr>
  </w:p>
  <w:p w:rsidR="00920FE9" w:rsidRPr="007F00CB" w:rsidRDefault="00920FE9">
    <w:pPr>
      <w:pStyle w:val="Footer"/>
      <w:rPr>
        <w:color w:val="808080" w:themeColor="background1" w:themeShade="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E9" w:rsidRPr="004E5B5C" w:rsidRDefault="00920FE9" w:rsidP="008F4834">
    <w:pPr>
      <w:pStyle w:val="Footer"/>
      <w:ind w:right="-284" w:hanging="284"/>
      <w:rPr>
        <w:rFonts w:ascii="Verdana" w:hAnsi="Verdana" w:cs="Arial"/>
        <w:b/>
        <w:color w:val="808080" w:themeColor="background1" w:themeShade="80"/>
        <w:sz w:val="18"/>
        <w:szCs w:val="18"/>
        <w:lang w:val="en-US"/>
      </w:rPr>
    </w:pPr>
    <w:r w:rsidRPr="004E5B5C">
      <w:rPr>
        <w:rFonts w:ascii="Verdana" w:hAnsi="Verdana" w:cs="Arial"/>
        <w:b/>
        <w:color w:val="808080" w:themeColor="background1" w:themeShade="80"/>
        <w:sz w:val="18"/>
        <w:szCs w:val="18"/>
        <w:lang w:val="en-US"/>
      </w:rPr>
      <w:t>WSE Public Relations:</w:t>
    </w:r>
  </w:p>
  <w:p w:rsidR="00920FE9" w:rsidRPr="004E5B5C" w:rsidRDefault="00920FE9" w:rsidP="008F4834">
    <w:pPr>
      <w:pStyle w:val="Footer"/>
      <w:ind w:right="-284" w:hanging="284"/>
      <w:rPr>
        <w:rFonts w:ascii="Verdana" w:hAnsi="Verdana" w:cs="Arial"/>
        <w:b/>
        <w:color w:val="808080" w:themeColor="background1" w:themeShade="80"/>
        <w:sz w:val="18"/>
        <w:szCs w:val="18"/>
        <w:lang w:val="en-US"/>
      </w:rPr>
    </w:pPr>
    <w:r w:rsidRPr="004E5B5C">
      <w:rPr>
        <w:rFonts w:ascii="Verdana" w:hAnsi="Verdana" w:cs="Arial"/>
        <w:b/>
        <w:color w:val="808080" w:themeColor="background1" w:themeShade="80"/>
        <w:sz w:val="18"/>
        <w:szCs w:val="18"/>
        <w:lang w:val="en-US"/>
      </w:rPr>
      <w:t xml:space="preserve">Błażej Karwowski – Director, WSE Press Spokesman: </w:t>
    </w:r>
    <w:hyperlink r:id="rId1" w:history="1">
      <w:r w:rsidRPr="004E5B5C">
        <w:rPr>
          <w:rStyle w:val="Hyperlink"/>
          <w:rFonts w:ascii="Verdana" w:hAnsi="Verdana" w:cs="Arial"/>
          <w:b/>
          <w:sz w:val="18"/>
          <w:szCs w:val="18"/>
          <w:lang w:val="en-US"/>
        </w:rPr>
        <w:t>press@gpw.pl</w:t>
      </w:r>
    </w:hyperlink>
    <w:r w:rsidRPr="004E5B5C">
      <w:rPr>
        <w:rFonts w:ascii="Verdana" w:hAnsi="Verdana" w:cs="Arial"/>
        <w:b/>
        <w:color w:val="808080" w:themeColor="background1" w:themeShade="80"/>
        <w:sz w:val="18"/>
        <w:szCs w:val="18"/>
        <w:lang w:val="en-US"/>
      </w:rPr>
      <w:t>, +48 22 537 74 71</w:t>
    </w:r>
  </w:p>
  <w:p w:rsidR="00920FE9" w:rsidRPr="00222A2C" w:rsidRDefault="00920FE9" w:rsidP="008F4834">
    <w:pPr>
      <w:pStyle w:val="Footer"/>
      <w:ind w:right="-284" w:hanging="284"/>
      <w:rPr>
        <w:rFonts w:ascii="Verdana" w:hAnsi="Verdana"/>
        <w:sz w:val="18"/>
        <w:szCs w:val="18"/>
      </w:rPr>
    </w:pPr>
    <w:r>
      <w:rPr>
        <w:rFonts w:ascii="Verdana" w:hAnsi="Verdana" w:cs="Arial"/>
        <w:color w:val="808080" w:themeColor="background1" w:themeShade="80"/>
        <w:sz w:val="18"/>
        <w:szCs w:val="18"/>
      </w:rPr>
      <w:t>Anna Wiśniewska: +</w:t>
    </w:r>
    <w:r w:rsidRPr="00222A2C">
      <w:rPr>
        <w:rFonts w:ascii="Verdana" w:hAnsi="Verdana" w:cs="Arial"/>
        <w:color w:val="808080" w:themeColor="background1" w:themeShade="80"/>
        <w:sz w:val="18"/>
        <w:szCs w:val="18"/>
      </w:rPr>
      <w:t xml:space="preserve">48 22 537 77 17, +48 607 774 060, </w:t>
    </w:r>
    <w:hyperlink r:id="rId2" w:history="1">
      <w:r w:rsidRPr="00222A2C">
        <w:rPr>
          <w:rStyle w:val="Hyperlink"/>
          <w:rFonts w:ascii="Verdana" w:hAnsi="Verdana" w:cs="Arial"/>
          <w:sz w:val="18"/>
          <w:szCs w:val="18"/>
        </w:rPr>
        <w:t>anna.wisniewska@gpw.pl</w:t>
      </w:r>
    </w:hyperlink>
  </w:p>
  <w:p w:rsidR="00920FE9" w:rsidRPr="00222A2C" w:rsidRDefault="00920FE9" w:rsidP="008F4834">
    <w:pPr>
      <w:pStyle w:val="Footer"/>
      <w:ind w:right="-284" w:hanging="284"/>
      <w:rPr>
        <w:rFonts w:ascii="Verdana" w:hAnsi="Verdana"/>
        <w:sz w:val="18"/>
        <w:szCs w:val="18"/>
      </w:rPr>
    </w:pPr>
    <w:r w:rsidRPr="00222A2C">
      <w:rPr>
        <w:rFonts w:ascii="Verdana" w:hAnsi="Verdana" w:cs="Arial"/>
        <w:color w:val="808080" w:themeColor="background1" w:themeShade="80"/>
        <w:sz w:val="18"/>
        <w:szCs w:val="18"/>
      </w:rPr>
      <w:t>Olga Chądzeńska</w:t>
    </w:r>
    <w:r>
      <w:rPr>
        <w:rFonts w:ascii="Verdana" w:hAnsi="Verdana" w:cs="Arial"/>
        <w:color w:val="808080" w:themeColor="background1" w:themeShade="80"/>
        <w:sz w:val="18"/>
        <w:szCs w:val="18"/>
      </w:rPr>
      <w:t>:</w:t>
    </w:r>
    <w:r w:rsidRPr="00222A2C">
      <w:rPr>
        <w:rFonts w:ascii="Verdana" w:hAnsi="Verdana" w:cs="Arial"/>
        <w:color w:val="808080" w:themeColor="background1" w:themeShade="80"/>
        <w:sz w:val="18"/>
        <w:szCs w:val="18"/>
      </w:rPr>
      <w:t xml:space="preserve"> +48 22 537 78 99, +48 603 366 808, </w:t>
    </w:r>
    <w:hyperlink r:id="rId3" w:history="1">
      <w:r w:rsidRPr="00840AA6">
        <w:rPr>
          <w:rStyle w:val="Hyperlink"/>
          <w:rFonts w:ascii="Verdana" w:hAnsi="Verdana" w:cs="Arial"/>
          <w:sz w:val="18"/>
          <w:szCs w:val="18"/>
        </w:rPr>
        <w:t>olga.chadzenska@gpw.pl</w:t>
      </w:r>
    </w:hyperlink>
  </w:p>
  <w:p w:rsidR="00920FE9" w:rsidRPr="00572758" w:rsidRDefault="00920FE9" w:rsidP="008F4834">
    <w:pPr>
      <w:pStyle w:val="Footer"/>
      <w:ind w:right="-284" w:hanging="284"/>
      <w:rPr>
        <w:rFonts w:ascii="Verdana" w:hAnsi="Verdana" w:cs="Arial"/>
        <w:color w:val="808080" w:themeColor="background1" w:themeShade="80"/>
        <w:sz w:val="18"/>
        <w:szCs w:val="18"/>
      </w:rPr>
    </w:pPr>
    <w:r w:rsidRPr="00222A2C">
      <w:rPr>
        <w:rFonts w:ascii="Verdana" w:hAnsi="Verdana" w:cs="Arial"/>
        <w:color w:val="808080" w:themeColor="background1" w:themeShade="80"/>
        <w:sz w:val="18"/>
        <w:szCs w:val="18"/>
      </w:rPr>
      <w:t>Martyna Makiel</w:t>
    </w:r>
    <w:r>
      <w:rPr>
        <w:rFonts w:ascii="Verdana" w:hAnsi="Verdana" w:cs="Arial"/>
        <w:color w:val="808080" w:themeColor="background1" w:themeShade="80"/>
        <w:sz w:val="18"/>
        <w:szCs w:val="18"/>
      </w:rPr>
      <w:t xml:space="preserve">: </w:t>
    </w:r>
    <w:r w:rsidRPr="00222A2C">
      <w:rPr>
        <w:rFonts w:ascii="Verdana" w:hAnsi="Verdana" w:cs="Arial"/>
        <w:color w:val="808080" w:themeColor="background1" w:themeShade="80"/>
        <w:sz w:val="18"/>
        <w:szCs w:val="18"/>
      </w:rPr>
      <w:t xml:space="preserve">+48 22 537 </w:t>
    </w:r>
    <w:r>
      <w:rPr>
        <w:rFonts w:ascii="Verdana" w:hAnsi="Verdana" w:cs="Arial"/>
        <w:color w:val="808080" w:themeColor="background1" w:themeShade="80"/>
        <w:sz w:val="18"/>
        <w:szCs w:val="18"/>
      </w:rPr>
      <w:t>7089</w:t>
    </w:r>
    <w:r w:rsidRPr="00222A2C">
      <w:rPr>
        <w:rFonts w:ascii="Verdana" w:hAnsi="Verdana" w:cs="Arial"/>
        <w:color w:val="808080" w:themeColor="background1" w:themeShade="80"/>
        <w:sz w:val="18"/>
        <w:szCs w:val="18"/>
      </w:rPr>
      <w:t>, +48</w:t>
    </w:r>
    <w:r>
      <w:rPr>
        <w:rFonts w:ascii="Verdana" w:hAnsi="Verdana" w:cs="Arial"/>
        <w:color w:val="808080" w:themeColor="background1" w:themeShade="80"/>
        <w:sz w:val="18"/>
        <w:szCs w:val="18"/>
      </w:rPr>
      <w:t> </w:t>
    </w:r>
    <w:r w:rsidRPr="00222A2C">
      <w:rPr>
        <w:rFonts w:ascii="Verdana" w:hAnsi="Verdana" w:cs="Arial"/>
        <w:color w:val="808080" w:themeColor="background1" w:themeShade="80"/>
        <w:sz w:val="18"/>
        <w:szCs w:val="18"/>
      </w:rPr>
      <w:t>60</w:t>
    </w:r>
    <w:r>
      <w:rPr>
        <w:rFonts w:ascii="Verdana" w:hAnsi="Verdana" w:cs="Arial"/>
        <w:color w:val="808080" w:themeColor="background1" w:themeShade="80"/>
        <w:sz w:val="18"/>
        <w:szCs w:val="18"/>
      </w:rPr>
      <w:t>5 470 938</w:t>
    </w:r>
    <w:r w:rsidRPr="00222A2C">
      <w:rPr>
        <w:rFonts w:ascii="Verdana" w:hAnsi="Verdana" w:cs="Arial"/>
        <w:color w:val="808080" w:themeColor="background1" w:themeShade="80"/>
        <w:sz w:val="18"/>
        <w:szCs w:val="18"/>
      </w:rPr>
      <w:t xml:space="preserve">, </w:t>
    </w:r>
    <w:hyperlink r:id="rId4" w:history="1">
      <w:r w:rsidRPr="00222A2C">
        <w:rPr>
          <w:rStyle w:val="Hyperlink"/>
          <w:rFonts w:ascii="Verdana" w:hAnsi="Verdana" w:cs="Arial"/>
          <w:sz w:val="18"/>
          <w:szCs w:val="18"/>
        </w:rPr>
        <w:t>martyna.makiel@gpw.pl</w:t>
      </w:r>
    </w:hyperlink>
  </w:p>
  <w:p w:rsidR="00920FE9" w:rsidRPr="007763CA" w:rsidRDefault="00920FE9" w:rsidP="008F4834">
    <w:pPr>
      <w:pStyle w:val="Footer"/>
      <w:ind w:right="-284" w:hanging="284"/>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498" w:rsidRDefault="009A1498" w:rsidP="0086331F">
      <w:pPr>
        <w:spacing w:after="0" w:line="240" w:lineRule="auto"/>
      </w:pPr>
      <w:r>
        <w:separator/>
      </w:r>
    </w:p>
  </w:footnote>
  <w:footnote w:type="continuationSeparator" w:id="0">
    <w:p w:rsidR="009A1498" w:rsidRDefault="009A1498" w:rsidP="00863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E9" w:rsidRDefault="00CE4DF8">
    <w:pPr>
      <w:pStyle w:val="Header"/>
    </w:pPr>
    <w:r w:rsidRPr="00CE4DF8">
      <w:rPr>
        <w:noProof/>
        <w:lang w:val="en-GB" w:eastAsia="en-GB"/>
      </w:rPr>
      <w:drawing>
        <wp:inline distT="0" distB="0" distL="0" distR="0">
          <wp:extent cx="2271223" cy="907440"/>
          <wp:effectExtent l="19050" t="0" r="0" b="0"/>
          <wp:docPr id="2" name="Obraz 0" descr="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ternet.jpg"/>
                  <pic:cNvPicPr/>
                </pic:nvPicPr>
                <pic:blipFill>
                  <a:blip r:embed="rId1"/>
                  <a:stretch>
                    <a:fillRect/>
                  </a:stretch>
                </pic:blipFill>
                <pic:spPr>
                  <a:xfrm>
                    <a:off x="0" y="0"/>
                    <a:ext cx="2272573" cy="9079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621FC2"/>
    <w:lvl w:ilvl="0">
      <w:start w:val="1"/>
      <w:numFmt w:val="decimal"/>
      <w:lvlText w:val="%1."/>
      <w:lvlJc w:val="left"/>
      <w:pPr>
        <w:tabs>
          <w:tab w:val="num" w:pos="1492"/>
        </w:tabs>
        <w:ind w:left="1492" w:hanging="360"/>
      </w:pPr>
    </w:lvl>
  </w:abstractNum>
  <w:abstractNum w:abstractNumId="1">
    <w:nsid w:val="FFFFFF7D"/>
    <w:multiLevelType w:val="singleLevel"/>
    <w:tmpl w:val="D048D3FC"/>
    <w:lvl w:ilvl="0">
      <w:start w:val="1"/>
      <w:numFmt w:val="decimal"/>
      <w:lvlText w:val="%1."/>
      <w:lvlJc w:val="left"/>
      <w:pPr>
        <w:tabs>
          <w:tab w:val="num" w:pos="1209"/>
        </w:tabs>
        <w:ind w:left="1209" w:hanging="360"/>
      </w:pPr>
    </w:lvl>
  </w:abstractNum>
  <w:abstractNum w:abstractNumId="2">
    <w:nsid w:val="FFFFFF7E"/>
    <w:multiLevelType w:val="singleLevel"/>
    <w:tmpl w:val="AF6E7DBA"/>
    <w:lvl w:ilvl="0">
      <w:start w:val="1"/>
      <w:numFmt w:val="decimal"/>
      <w:lvlText w:val="%1."/>
      <w:lvlJc w:val="left"/>
      <w:pPr>
        <w:tabs>
          <w:tab w:val="num" w:pos="926"/>
        </w:tabs>
        <w:ind w:left="926" w:hanging="360"/>
      </w:pPr>
    </w:lvl>
  </w:abstractNum>
  <w:abstractNum w:abstractNumId="3">
    <w:nsid w:val="FFFFFF7F"/>
    <w:multiLevelType w:val="singleLevel"/>
    <w:tmpl w:val="78EC8646"/>
    <w:lvl w:ilvl="0">
      <w:start w:val="1"/>
      <w:numFmt w:val="decimal"/>
      <w:lvlText w:val="%1."/>
      <w:lvlJc w:val="left"/>
      <w:pPr>
        <w:tabs>
          <w:tab w:val="num" w:pos="643"/>
        </w:tabs>
        <w:ind w:left="643" w:hanging="360"/>
      </w:pPr>
    </w:lvl>
  </w:abstractNum>
  <w:abstractNum w:abstractNumId="4">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A4FC74"/>
    <w:lvl w:ilvl="0">
      <w:start w:val="1"/>
      <w:numFmt w:val="decimal"/>
      <w:lvlText w:val="%1."/>
      <w:lvlJc w:val="left"/>
      <w:pPr>
        <w:tabs>
          <w:tab w:val="num" w:pos="360"/>
        </w:tabs>
        <w:ind w:left="360" w:hanging="360"/>
      </w:pPr>
    </w:lvl>
  </w:abstractNum>
  <w:abstractNum w:abstractNumId="9">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nsid w:val="019D074F"/>
    <w:multiLevelType w:val="hybridMultilevel"/>
    <w:tmpl w:val="39FE1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1361EB"/>
    <w:multiLevelType w:val="hybridMultilevel"/>
    <w:tmpl w:val="8E18D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DF283F"/>
    <w:multiLevelType w:val="hybridMultilevel"/>
    <w:tmpl w:val="543ABDA8"/>
    <w:lvl w:ilvl="0" w:tplc="8702C262">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15FF7C3E"/>
    <w:multiLevelType w:val="multilevel"/>
    <w:tmpl w:val="36E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407B7C"/>
    <w:multiLevelType w:val="hybridMultilevel"/>
    <w:tmpl w:val="07C205F8"/>
    <w:lvl w:ilvl="0" w:tplc="E4FA0390">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nsid w:val="237878B7"/>
    <w:multiLevelType w:val="hybridMultilevel"/>
    <w:tmpl w:val="CE786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A996843"/>
    <w:multiLevelType w:val="hybridMultilevel"/>
    <w:tmpl w:val="46245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ABA3BCB"/>
    <w:multiLevelType w:val="hybridMultilevel"/>
    <w:tmpl w:val="28828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108C6"/>
    <w:multiLevelType w:val="hybridMultilevel"/>
    <w:tmpl w:val="A5F076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1140E5"/>
    <w:multiLevelType w:val="hybridMultilevel"/>
    <w:tmpl w:val="C48A8376"/>
    <w:lvl w:ilvl="0" w:tplc="6ABE8958">
      <w:start w:val="1"/>
      <w:numFmt w:val="bullet"/>
      <w:lvlText w:val=""/>
      <w:lvlJc w:val="left"/>
      <w:pPr>
        <w:tabs>
          <w:tab w:val="num" w:pos="360"/>
        </w:tabs>
        <w:ind w:left="360" w:hanging="360"/>
      </w:pPr>
      <w:rPr>
        <w:rFonts w:ascii="Symbol" w:hAnsi="Symbol" w:hint="default"/>
        <w:b w:val="0"/>
        <w:i w:val="0"/>
        <w:sz w:val="20"/>
        <w:szCs w:val="20"/>
      </w:rPr>
    </w:lvl>
    <w:lvl w:ilvl="1" w:tplc="04150003" w:tentative="1">
      <w:start w:val="1"/>
      <w:numFmt w:val="bullet"/>
      <w:lvlText w:val="o"/>
      <w:lvlJc w:val="left"/>
      <w:pPr>
        <w:tabs>
          <w:tab w:val="num" w:pos="-540"/>
        </w:tabs>
        <w:ind w:left="-540" w:hanging="360"/>
      </w:pPr>
      <w:rPr>
        <w:rFonts w:ascii="Courier New" w:hAnsi="Courier New" w:cs="Courier New" w:hint="default"/>
      </w:rPr>
    </w:lvl>
    <w:lvl w:ilvl="2" w:tplc="04150005" w:tentative="1">
      <w:start w:val="1"/>
      <w:numFmt w:val="bullet"/>
      <w:lvlText w:val=""/>
      <w:lvlJc w:val="left"/>
      <w:pPr>
        <w:tabs>
          <w:tab w:val="num" w:pos="180"/>
        </w:tabs>
        <w:ind w:left="180" w:hanging="360"/>
      </w:pPr>
      <w:rPr>
        <w:rFonts w:ascii="Wingdings" w:hAnsi="Wingdings" w:hint="default"/>
      </w:rPr>
    </w:lvl>
    <w:lvl w:ilvl="3" w:tplc="04150001" w:tentative="1">
      <w:start w:val="1"/>
      <w:numFmt w:val="bullet"/>
      <w:lvlText w:val=""/>
      <w:lvlJc w:val="left"/>
      <w:pPr>
        <w:tabs>
          <w:tab w:val="num" w:pos="900"/>
        </w:tabs>
        <w:ind w:left="900" w:hanging="360"/>
      </w:pPr>
      <w:rPr>
        <w:rFonts w:ascii="Symbol" w:hAnsi="Symbol" w:hint="default"/>
      </w:rPr>
    </w:lvl>
    <w:lvl w:ilvl="4" w:tplc="04150003" w:tentative="1">
      <w:start w:val="1"/>
      <w:numFmt w:val="bullet"/>
      <w:lvlText w:val="o"/>
      <w:lvlJc w:val="left"/>
      <w:pPr>
        <w:tabs>
          <w:tab w:val="num" w:pos="1620"/>
        </w:tabs>
        <w:ind w:left="1620" w:hanging="360"/>
      </w:pPr>
      <w:rPr>
        <w:rFonts w:ascii="Courier New" w:hAnsi="Courier New" w:cs="Courier New" w:hint="default"/>
      </w:rPr>
    </w:lvl>
    <w:lvl w:ilvl="5" w:tplc="04150005" w:tentative="1">
      <w:start w:val="1"/>
      <w:numFmt w:val="bullet"/>
      <w:lvlText w:val=""/>
      <w:lvlJc w:val="left"/>
      <w:pPr>
        <w:tabs>
          <w:tab w:val="num" w:pos="2340"/>
        </w:tabs>
        <w:ind w:left="2340" w:hanging="360"/>
      </w:pPr>
      <w:rPr>
        <w:rFonts w:ascii="Wingdings" w:hAnsi="Wingdings" w:hint="default"/>
      </w:rPr>
    </w:lvl>
    <w:lvl w:ilvl="6" w:tplc="04150001" w:tentative="1">
      <w:start w:val="1"/>
      <w:numFmt w:val="bullet"/>
      <w:lvlText w:val=""/>
      <w:lvlJc w:val="left"/>
      <w:pPr>
        <w:tabs>
          <w:tab w:val="num" w:pos="3060"/>
        </w:tabs>
        <w:ind w:left="3060" w:hanging="360"/>
      </w:pPr>
      <w:rPr>
        <w:rFonts w:ascii="Symbol" w:hAnsi="Symbol" w:hint="default"/>
      </w:rPr>
    </w:lvl>
    <w:lvl w:ilvl="7" w:tplc="04150003" w:tentative="1">
      <w:start w:val="1"/>
      <w:numFmt w:val="bullet"/>
      <w:lvlText w:val="o"/>
      <w:lvlJc w:val="left"/>
      <w:pPr>
        <w:tabs>
          <w:tab w:val="num" w:pos="3780"/>
        </w:tabs>
        <w:ind w:left="3780" w:hanging="360"/>
      </w:pPr>
      <w:rPr>
        <w:rFonts w:ascii="Courier New" w:hAnsi="Courier New" w:cs="Courier New" w:hint="default"/>
      </w:rPr>
    </w:lvl>
    <w:lvl w:ilvl="8" w:tplc="04150005" w:tentative="1">
      <w:start w:val="1"/>
      <w:numFmt w:val="bullet"/>
      <w:lvlText w:val=""/>
      <w:lvlJc w:val="left"/>
      <w:pPr>
        <w:tabs>
          <w:tab w:val="num" w:pos="4500"/>
        </w:tabs>
        <w:ind w:left="4500" w:hanging="360"/>
      </w:pPr>
      <w:rPr>
        <w:rFonts w:ascii="Wingdings" w:hAnsi="Wingdings" w:hint="default"/>
      </w:rPr>
    </w:lvl>
  </w:abstractNum>
  <w:abstractNum w:abstractNumId="20">
    <w:nsid w:val="4B8619E7"/>
    <w:multiLevelType w:val="multilevel"/>
    <w:tmpl w:val="F43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CB1A00"/>
    <w:multiLevelType w:val="hybridMultilevel"/>
    <w:tmpl w:val="4F2CB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EA1899"/>
    <w:multiLevelType w:val="hybridMultilevel"/>
    <w:tmpl w:val="F67CA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673EB5"/>
    <w:multiLevelType w:val="hybridMultilevel"/>
    <w:tmpl w:val="EBEEB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1AF5496"/>
    <w:multiLevelType w:val="multilevel"/>
    <w:tmpl w:val="AD8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D1E7B"/>
    <w:multiLevelType w:val="multilevel"/>
    <w:tmpl w:val="2832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316E3C"/>
    <w:multiLevelType w:val="hybridMultilevel"/>
    <w:tmpl w:val="947CD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A5631F9"/>
    <w:multiLevelType w:val="hybridMultilevel"/>
    <w:tmpl w:val="5696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22394F"/>
    <w:multiLevelType w:val="hybridMultilevel"/>
    <w:tmpl w:val="292CC810"/>
    <w:lvl w:ilvl="0" w:tplc="43928F84">
      <w:start w:val="1"/>
      <w:numFmt w:val="decimal"/>
      <w:lvlText w:val="%1)"/>
      <w:lvlJc w:val="left"/>
      <w:pPr>
        <w:ind w:left="720" w:hanging="360"/>
      </w:pPr>
      <w:rPr>
        <w:rFonts w:cs="Times New Roman"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6"/>
  </w:num>
  <w:num w:numId="12">
    <w:abstractNumId w:val="22"/>
  </w:num>
  <w:num w:numId="13">
    <w:abstractNumId w:val="19"/>
  </w:num>
  <w:num w:numId="14">
    <w:abstractNumId w:val="10"/>
  </w:num>
  <w:num w:numId="15">
    <w:abstractNumId w:val="13"/>
  </w:num>
  <w:num w:numId="16">
    <w:abstractNumId w:val="17"/>
  </w:num>
  <w:num w:numId="17">
    <w:abstractNumId w:val="11"/>
  </w:num>
  <w:num w:numId="18">
    <w:abstractNumId w:val="18"/>
  </w:num>
  <w:num w:numId="19">
    <w:abstractNumId w:val="21"/>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8"/>
  </w:num>
  <w:num w:numId="24">
    <w:abstractNumId w:val="25"/>
  </w:num>
  <w:num w:numId="25">
    <w:abstractNumId w:val="24"/>
  </w:num>
  <w:num w:numId="26">
    <w:abstractNumId w:val="12"/>
  </w:num>
  <w:num w:numId="27">
    <w:abstractNumId w:val="16"/>
  </w:num>
  <w:num w:numId="28">
    <w:abstractNumId w:val="15"/>
  </w:num>
  <w:num w:numId="29">
    <w:abstractNumId w:val="27"/>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34"/>
    <w:rsid w:val="00006FEF"/>
    <w:rsid w:val="0000740D"/>
    <w:rsid w:val="00011BE5"/>
    <w:rsid w:val="00027A21"/>
    <w:rsid w:val="000310AE"/>
    <w:rsid w:val="000375EF"/>
    <w:rsid w:val="0004255B"/>
    <w:rsid w:val="0004403A"/>
    <w:rsid w:val="00046D0F"/>
    <w:rsid w:val="000519C7"/>
    <w:rsid w:val="00052D57"/>
    <w:rsid w:val="00053505"/>
    <w:rsid w:val="00054370"/>
    <w:rsid w:val="00055834"/>
    <w:rsid w:val="00060F65"/>
    <w:rsid w:val="0006244E"/>
    <w:rsid w:val="000627DE"/>
    <w:rsid w:val="000639CC"/>
    <w:rsid w:val="00063CF4"/>
    <w:rsid w:val="0006476C"/>
    <w:rsid w:val="00064834"/>
    <w:rsid w:val="00067487"/>
    <w:rsid w:val="00072050"/>
    <w:rsid w:val="000734FE"/>
    <w:rsid w:val="000962C5"/>
    <w:rsid w:val="00096F26"/>
    <w:rsid w:val="000A2D7B"/>
    <w:rsid w:val="000A2DB4"/>
    <w:rsid w:val="000A4CF1"/>
    <w:rsid w:val="000A6EB3"/>
    <w:rsid w:val="000B33B9"/>
    <w:rsid w:val="000B3E77"/>
    <w:rsid w:val="000B4088"/>
    <w:rsid w:val="000B5777"/>
    <w:rsid w:val="000B5BCF"/>
    <w:rsid w:val="000C5EDC"/>
    <w:rsid w:val="000C617D"/>
    <w:rsid w:val="000D061C"/>
    <w:rsid w:val="000D1CA1"/>
    <w:rsid w:val="000E25E0"/>
    <w:rsid w:val="000E6013"/>
    <w:rsid w:val="00105A90"/>
    <w:rsid w:val="00106A91"/>
    <w:rsid w:val="001118C1"/>
    <w:rsid w:val="00121ECD"/>
    <w:rsid w:val="001240FF"/>
    <w:rsid w:val="00130733"/>
    <w:rsid w:val="00132979"/>
    <w:rsid w:val="00133F15"/>
    <w:rsid w:val="001411CF"/>
    <w:rsid w:val="00141667"/>
    <w:rsid w:val="0014532A"/>
    <w:rsid w:val="00152DE7"/>
    <w:rsid w:val="00152E3B"/>
    <w:rsid w:val="00155AF8"/>
    <w:rsid w:val="001561F4"/>
    <w:rsid w:val="00156C5B"/>
    <w:rsid w:val="00162C4C"/>
    <w:rsid w:val="001640C7"/>
    <w:rsid w:val="0017055B"/>
    <w:rsid w:val="00171B67"/>
    <w:rsid w:val="0018006F"/>
    <w:rsid w:val="00181C37"/>
    <w:rsid w:val="00185A2E"/>
    <w:rsid w:val="00186C1F"/>
    <w:rsid w:val="0018710B"/>
    <w:rsid w:val="00187354"/>
    <w:rsid w:val="0019493F"/>
    <w:rsid w:val="00196FB0"/>
    <w:rsid w:val="001A0D21"/>
    <w:rsid w:val="001A39BB"/>
    <w:rsid w:val="001A4A2C"/>
    <w:rsid w:val="001B2A52"/>
    <w:rsid w:val="001B5053"/>
    <w:rsid w:val="001B5954"/>
    <w:rsid w:val="001C2F57"/>
    <w:rsid w:val="001C432C"/>
    <w:rsid w:val="001C4C3C"/>
    <w:rsid w:val="001C6A53"/>
    <w:rsid w:val="001D2703"/>
    <w:rsid w:val="001D31DF"/>
    <w:rsid w:val="001D36B1"/>
    <w:rsid w:val="001E3066"/>
    <w:rsid w:val="001F15D0"/>
    <w:rsid w:val="001F4C78"/>
    <w:rsid w:val="0020340E"/>
    <w:rsid w:val="00204EE8"/>
    <w:rsid w:val="00205D6C"/>
    <w:rsid w:val="00205E34"/>
    <w:rsid w:val="0020718E"/>
    <w:rsid w:val="00210173"/>
    <w:rsid w:val="00215426"/>
    <w:rsid w:val="0022034B"/>
    <w:rsid w:val="00221C70"/>
    <w:rsid w:val="00222972"/>
    <w:rsid w:val="002247FB"/>
    <w:rsid w:val="00231BAC"/>
    <w:rsid w:val="00232CA8"/>
    <w:rsid w:val="0023427F"/>
    <w:rsid w:val="0023442C"/>
    <w:rsid w:val="00235B16"/>
    <w:rsid w:val="00242885"/>
    <w:rsid w:val="00244C9C"/>
    <w:rsid w:val="00252078"/>
    <w:rsid w:val="00254D01"/>
    <w:rsid w:val="00261E10"/>
    <w:rsid w:val="00267003"/>
    <w:rsid w:val="00267453"/>
    <w:rsid w:val="00285128"/>
    <w:rsid w:val="0028612E"/>
    <w:rsid w:val="00286E9D"/>
    <w:rsid w:val="00287B2C"/>
    <w:rsid w:val="00296CCC"/>
    <w:rsid w:val="002A3497"/>
    <w:rsid w:val="002C6A86"/>
    <w:rsid w:val="002C6B32"/>
    <w:rsid w:val="002C6CF6"/>
    <w:rsid w:val="002D194E"/>
    <w:rsid w:val="002D1D48"/>
    <w:rsid w:val="002D45CA"/>
    <w:rsid w:val="002E095F"/>
    <w:rsid w:val="002E6721"/>
    <w:rsid w:val="002E71C8"/>
    <w:rsid w:val="002F73EC"/>
    <w:rsid w:val="003014D9"/>
    <w:rsid w:val="00301BD0"/>
    <w:rsid w:val="00302801"/>
    <w:rsid w:val="003058E6"/>
    <w:rsid w:val="00307E56"/>
    <w:rsid w:val="0031593F"/>
    <w:rsid w:val="00317A48"/>
    <w:rsid w:val="00320BEC"/>
    <w:rsid w:val="00321A97"/>
    <w:rsid w:val="003243A2"/>
    <w:rsid w:val="003377FD"/>
    <w:rsid w:val="0034405B"/>
    <w:rsid w:val="003456A6"/>
    <w:rsid w:val="003537C1"/>
    <w:rsid w:val="003578C4"/>
    <w:rsid w:val="00357BD6"/>
    <w:rsid w:val="00360095"/>
    <w:rsid w:val="00367F5F"/>
    <w:rsid w:val="00380300"/>
    <w:rsid w:val="00384B30"/>
    <w:rsid w:val="003A2B58"/>
    <w:rsid w:val="003A2F54"/>
    <w:rsid w:val="003A35F9"/>
    <w:rsid w:val="003A36D1"/>
    <w:rsid w:val="003A540A"/>
    <w:rsid w:val="003A785B"/>
    <w:rsid w:val="003B5C57"/>
    <w:rsid w:val="003C3292"/>
    <w:rsid w:val="003C3D3C"/>
    <w:rsid w:val="003C4B1A"/>
    <w:rsid w:val="003C4F67"/>
    <w:rsid w:val="003C57F0"/>
    <w:rsid w:val="003D130C"/>
    <w:rsid w:val="003D32C6"/>
    <w:rsid w:val="003D42B7"/>
    <w:rsid w:val="003D6C57"/>
    <w:rsid w:val="003D7183"/>
    <w:rsid w:val="003E0C63"/>
    <w:rsid w:val="003E3F31"/>
    <w:rsid w:val="003E495D"/>
    <w:rsid w:val="003F0CF6"/>
    <w:rsid w:val="003F2DF2"/>
    <w:rsid w:val="003F5CD5"/>
    <w:rsid w:val="0040019F"/>
    <w:rsid w:val="00402411"/>
    <w:rsid w:val="004211D5"/>
    <w:rsid w:val="00421B5C"/>
    <w:rsid w:val="00423257"/>
    <w:rsid w:val="00424CDA"/>
    <w:rsid w:val="00425BEA"/>
    <w:rsid w:val="00426C8B"/>
    <w:rsid w:val="004313B5"/>
    <w:rsid w:val="00431F58"/>
    <w:rsid w:val="004324B4"/>
    <w:rsid w:val="00433C27"/>
    <w:rsid w:val="00435AE0"/>
    <w:rsid w:val="00435CFD"/>
    <w:rsid w:val="0043751E"/>
    <w:rsid w:val="004406C0"/>
    <w:rsid w:val="00443C7F"/>
    <w:rsid w:val="00443F31"/>
    <w:rsid w:val="00452437"/>
    <w:rsid w:val="004547C7"/>
    <w:rsid w:val="004701FB"/>
    <w:rsid w:val="00470B1C"/>
    <w:rsid w:val="00481343"/>
    <w:rsid w:val="0048159A"/>
    <w:rsid w:val="00481C2C"/>
    <w:rsid w:val="00482779"/>
    <w:rsid w:val="0048449E"/>
    <w:rsid w:val="00485E04"/>
    <w:rsid w:val="00486E87"/>
    <w:rsid w:val="004944AF"/>
    <w:rsid w:val="00497694"/>
    <w:rsid w:val="004A113E"/>
    <w:rsid w:val="004A1990"/>
    <w:rsid w:val="004A69BE"/>
    <w:rsid w:val="004B3BCB"/>
    <w:rsid w:val="004B4B88"/>
    <w:rsid w:val="004B59EC"/>
    <w:rsid w:val="004C63AC"/>
    <w:rsid w:val="004C7598"/>
    <w:rsid w:val="004C7BA7"/>
    <w:rsid w:val="004D304C"/>
    <w:rsid w:val="004D3935"/>
    <w:rsid w:val="004D3DD5"/>
    <w:rsid w:val="004D6C69"/>
    <w:rsid w:val="004E0840"/>
    <w:rsid w:val="004E0DB0"/>
    <w:rsid w:val="004E1740"/>
    <w:rsid w:val="004E5099"/>
    <w:rsid w:val="004E5B5C"/>
    <w:rsid w:val="004F468C"/>
    <w:rsid w:val="00504D78"/>
    <w:rsid w:val="0050655C"/>
    <w:rsid w:val="005104FB"/>
    <w:rsid w:val="005108C9"/>
    <w:rsid w:val="00511114"/>
    <w:rsid w:val="00520BD9"/>
    <w:rsid w:val="0052134F"/>
    <w:rsid w:val="005218B8"/>
    <w:rsid w:val="00525CAE"/>
    <w:rsid w:val="00525D31"/>
    <w:rsid w:val="00527820"/>
    <w:rsid w:val="005314EB"/>
    <w:rsid w:val="005339A0"/>
    <w:rsid w:val="0053777A"/>
    <w:rsid w:val="00540691"/>
    <w:rsid w:val="00545719"/>
    <w:rsid w:val="00550E3D"/>
    <w:rsid w:val="00552615"/>
    <w:rsid w:val="00556A51"/>
    <w:rsid w:val="005578BF"/>
    <w:rsid w:val="00565DDC"/>
    <w:rsid w:val="00566758"/>
    <w:rsid w:val="00570C4C"/>
    <w:rsid w:val="00572C1C"/>
    <w:rsid w:val="00573971"/>
    <w:rsid w:val="005814B0"/>
    <w:rsid w:val="00582593"/>
    <w:rsid w:val="0058376A"/>
    <w:rsid w:val="005839CA"/>
    <w:rsid w:val="005855A7"/>
    <w:rsid w:val="00587A83"/>
    <w:rsid w:val="00590163"/>
    <w:rsid w:val="00592CD5"/>
    <w:rsid w:val="0059321E"/>
    <w:rsid w:val="00594BE0"/>
    <w:rsid w:val="00597084"/>
    <w:rsid w:val="005A42F4"/>
    <w:rsid w:val="005B15F1"/>
    <w:rsid w:val="005B2F7A"/>
    <w:rsid w:val="005B4B25"/>
    <w:rsid w:val="005B5EE8"/>
    <w:rsid w:val="005C19FC"/>
    <w:rsid w:val="005D0FA3"/>
    <w:rsid w:val="005D1C87"/>
    <w:rsid w:val="005D2F41"/>
    <w:rsid w:val="005D2F45"/>
    <w:rsid w:val="005D59FB"/>
    <w:rsid w:val="005D5B57"/>
    <w:rsid w:val="005E0B43"/>
    <w:rsid w:val="005E5030"/>
    <w:rsid w:val="005E70F4"/>
    <w:rsid w:val="005F02C0"/>
    <w:rsid w:val="005F142C"/>
    <w:rsid w:val="005F1FC6"/>
    <w:rsid w:val="005F2B6F"/>
    <w:rsid w:val="005F2DEC"/>
    <w:rsid w:val="0060281F"/>
    <w:rsid w:val="00612D60"/>
    <w:rsid w:val="006153C7"/>
    <w:rsid w:val="00625236"/>
    <w:rsid w:val="00625FB7"/>
    <w:rsid w:val="00632CE6"/>
    <w:rsid w:val="00632E21"/>
    <w:rsid w:val="00634658"/>
    <w:rsid w:val="00634EB0"/>
    <w:rsid w:val="00634EF1"/>
    <w:rsid w:val="006363AD"/>
    <w:rsid w:val="00636810"/>
    <w:rsid w:val="006376FB"/>
    <w:rsid w:val="0063793D"/>
    <w:rsid w:val="006414DF"/>
    <w:rsid w:val="00641F55"/>
    <w:rsid w:val="0064363D"/>
    <w:rsid w:val="00643EBD"/>
    <w:rsid w:val="00653AC6"/>
    <w:rsid w:val="0065409D"/>
    <w:rsid w:val="00655E16"/>
    <w:rsid w:val="006565F7"/>
    <w:rsid w:val="00656CF7"/>
    <w:rsid w:val="00666402"/>
    <w:rsid w:val="006664BD"/>
    <w:rsid w:val="00673AAB"/>
    <w:rsid w:val="00674559"/>
    <w:rsid w:val="00674D21"/>
    <w:rsid w:val="00675DEF"/>
    <w:rsid w:val="00680798"/>
    <w:rsid w:val="00681058"/>
    <w:rsid w:val="006950F3"/>
    <w:rsid w:val="00697A3C"/>
    <w:rsid w:val="006B005E"/>
    <w:rsid w:val="006B4FB1"/>
    <w:rsid w:val="006B67F2"/>
    <w:rsid w:val="006C14C1"/>
    <w:rsid w:val="006C336D"/>
    <w:rsid w:val="006C402C"/>
    <w:rsid w:val="006D03FD"/>
    <w:rsid w:val="006D70F9"/>
    <w:rsid w:val="006F690B"/>
    <w:rsid w:val="0070147C"/>
    <w:rsid w:val="00703F07"/>
    <w:rsid w:val="00704496"/>
    <w:rsid w:val="00706704"/>
    <w:rsid w:val="00706A2D"/>
    <w:rsid w:val="00714074"/>
    <w:rsid w:val="00720776"/>
    <w:rsid w:val="00721205"/>
    <w:rsid w:val="00726330"/>
    <w:rsid w:val="00726966"/>
    <w:rsid w:val="0073406D"/>
    <w:rsid w:val="00735CC7"/>
    <w:rsid w:val="00743D9D"/>
    <w:rsid w:val="0074442D"/>
    <w:rsid w:val="00751684"/>
    <w:rsid w:val="00751D6C"/>
    <w:rsid w:val="007529D4"/>
    <w:rsid w:val="007567EC"/>
    <w:rsid w:val="00760290"/>
    <w:rsid w:val="00762CFB"/>
    <w:rsid w:val="00764F99"/>
    <w:rsid w:val="0077024B"/>
    <w:rsid w:val="00775ABE"/>
    <w:rsid w:val="007763CA"/>
    <w:rsid w:val="007817A7"/>
    <w:rsid w:val="0078412E"/>
    <w:rsid w:val="00787641"/>
    <w:rsid w:val="00796A64"/>
    <w:rsid w:val="007974D5"/>
    <w:rsid w:val="007A11CD"/>
    <w:rsid w:val="007A6E65"/>
    <w:rsid w:val="007A76BC"/>
    <w:rsid w:val="007B1C3F"/>
    <w:rsid w:val="007B3177"/>
    <w:rsid w:val="007B3383"/>
    <w:rsid w:val="007B4AC7"/>
    <w:rsid w:val="007C03B6"/>
    <w:rsid w:val="007C292E"/>
    <w:rsid w:val="007C6600"/>
    <w:rsid w:val="007D2DBE"/>
    <w:rsid w:val="007D50A1"/>
    <w:rsid w:val="007E062C"/>
    <w:rsid w:val="007E0B73"/>
    <w:rsid w:val="007E1296"/>
    <w:rsid w:val="007E2B3E"/>
    <w:rsid w:val="007E6555"/>
    <w:rsid w:val="007E7961"/>
    <w:rsid w:val="007F00CB"/>
    <w:rsid w:val="008022FE"/>
    <w:rsid w:val="00804063"/>
    <w:rsid w:val="00804A6A"/>
    <w:rsid w:val="00812F95"/>
    <w:rsid w:val="00821957"/>
    <w:rsid w:val="008323EE"/>
    <w:rsid w:val="00833111"/>
    <w:rsid w:val="00837EA3"/>
    <w:rsid w:val="00845390"/>
    <w:rsid w:val="00846F2A"/>
    <w:rsid w:val="008511F7"/>
    <w:rsid w:val="0085250D"/>
    <w:rsid w:val="00860899"/>
    <w:rsid w:val="00862ED0"/>
    <w:rsid w:val="0086331F"/>
    <w:rsid w:val="00864A52"/>
    <w:rsid w:val="00865ADF"/>
    <w:rsid w:val="0088076A"/>
    <w:rsid w:val="00890059"/>
    <w:rsid w:val="00892D39"/>
    <w:rsid w:val="0089397F"/>
    <w:rsid w:val="008A3B7F"/>
    <w:rsid w:val="008A6EC7"/>
    <w:rsid w:val="008B0EE4"/>
    <w:rsid w:val="008B55B0"/>
    <w:rsid w:val="008B64CA"/>
    <w:rsid w:val="008B743F"/>
    <w:rsid w:val="008C2AF9"/>
    <w:rsid w:val="008C4F17"/>
    <w:rsid w:val="008C67BB"/>
    <w:rsid w:val="008F2BDF"/>
    <w:rsid w:val="008F4834"/>
    <w:rsid w:val="008F6A38"/>
    <w:rsid w:val="009103E3"/>
    <w:rsid w:val="00913186"/>
    <w:rsid w:val="00920188"/>
    <w:rsid w:val="00920FE9"/>
    <w:rsid w:val="0092521F"/>
    <w:rsid w:val="00937BF5"/>
    <w:rsid w:val="00937D7E"/>
    <w:rsid w:val="00941D7A"/>
    <w:rsid w:val="00942B2F"/>
    <w:rsid w:val="009447EA"/>
    <w:rsid w:val="0094600F"/>
    <w:rsid w:val="00946379"/>
    <w:rsid w:val="009575CC"/>
    <w:rsid w:val="00964387"/>
    <w:rsid w:val="009678DB"/>
    <w:rsid w:val="00971437"/>
    <w:rsid w:val="009750E4"/>
    <w:rsid w:val="009825E3"/>
    <w:rsid w:val="00982648"/>
    <w:rsid w:val="00982F19"/>
    <w:rsid w:val="00984446"/>
    <w:rsid w:val="00984D6A"/>
    <w:rsid w:val="009856FB"/>
    <w:rsid w:val="00993218"/>
    <w:rsid w:val="009947CC"/>
    <w:rsid w:val="009956A2"/>
    <w:rsid w:val="009A02F4"/>
    <w:rsid w:val="009A0808"/>
    <w:rsid w:val="009A1498"/>
    <w:rsid w:val="009A1AA3"/>
    <w:rsid w:val="009B3330"/>
    <w:rsid w:val="009B71DE"/>
    <w:rsid w:val="009C07FF"/>
    <w:rsid w:val="009C15BC"/>
    <w:rsid w:val="009C25DA"/>
    <w:rsid w:val="009C2F1C"/>
    <w:rsid w:val="009C3342"/>
    <w:rsid w:val="009D0D59"/>
    <w:rsid w:val="009D4A74"/>
    <w:rsid w:val="009E1FBF"/>
    <w:rsid w:val="009E29D3"/>
    <w:rsid w:val="009F7644"/>
    <w:rsid w:val="00A0452E"/>
    <w:rsid w:val="00A052C1"/>
    <w:rsid w:val="00A06253"/>
    <w:rsid w:val="00A07526"/>
    <w:rsid w:val="00A07F41"/>
    <w:rsid w:val="00A12962"/>
    <w:rsid w:val="00A13C2D"/>
    <w:rsid w:val="00A2307E"/>
    <w:rsid w:val="00A26B04"/>
    <w:rsid w:val="00A30229"/>
    <w:rsid w:val="00A3155B"/>
    <w:rsid w:val="00A336D1"/>
    <w:rsid w:val="00A376FC"/>
    <w:rsid w:val="00A43A7F"/>
    <w:rsid w:val="00A45036"/>
    <w:rsid w:val="00A50C6B"/>
    <w:rsid w:val="00A511E0"/>
    <w:rsid w:val="00A536E3"/>
    <w:rsid w:val="00A6362F"/>
    <w:rsid w:val="00A63A0B"/>
    <w:rsid w:val="00A71BA2"/>
    <w:rsid w:val="00A763BC"/>
    <w:rsid w:val="00A76C3F"/>
    <w:rsid w:val="00A8135F"/>
    <w:rsid w:val="00A86204"/>
    <w:rsid w:val="00A91853"/>
    <w:rsid w:val="00AA4D33"/>
    <w:rsid w:val="00AA5CC7"/>
    <w:rsid w:val="00AA6B7B"/>
    <w:rsid w:val="00AA7BC8"/>
    <w:rsid w:val="00AB3495"/>
    <w:rsid w:val="00AC0F66"/>
    <w:rsid w:val="00AC267B"/>
    <w:rsid w:val="00AC380D"/>
    <w:rsid w:val="00AC512E"/>
    <w:rsid w:val="00AD5EC0"/>
    <w:rsid w:val="00AE35D3"/>
    <w:rsid w:val="00AF5D14"/>
    <w:rsid w:val="00B037B1"/>
    <w:rsid w:val="00B038F4"/>
    <w:rsid w:val="00B11D41"/>
    <w:rsid w:val="00B1352F"/>
    <w:rsid w:val="00B143BB"/>
    <w:rsid w:val="00B15E9C"/>
    <w:rsid w:val="00B203D0"/>
    <w:rsid w:val="00B21712"/>
    <w:rsid w:val="00B2180A"/>
    <w:rsid w:val="00B221A5"/>
    <w:rsid w:val="00B25BA4"/>
    <w:rsid w:val="00B351A7"/>
    <w:rsid w:val="00B37035"/>
    <w:rsid w:val="00B43E63"/>
    <w:rsid w:val="00B4508F"/>
    <w:rsid w:val="00B47604"/>
    <w:rsid w:val="00B55E72"/>
    <w:rsid w:val="00B57BB6"/>
    <w:rsid w:val="00B61ED0"/>
    <w:rsid w:val="00B621B3"/>
    <w:rsid w:val="00B625C1"/>
    <w:rsid w:val="00B6501B"/>
    <w:rsid w:val="00B66092"/>
    <w:rsid w:val="00B6731C"/>
    <w:rsid w:val="00B72AB8"/>
    <w:rsid w:val="00B76788"/>
    <w:rsid w:val="00B768B8"/>
    <w:rsid w:val="00B77140"/>
    <w:rsid w:val="00B80E79"/>
    <w:rsid w:val="00B80EE5"/>
    <w:rsid w:val="00B82DE5"/>
    <w:rsid w:val="00B83D29"/>
    <w:rsid w:val="00B86F82"/>
    <w:rsid w:val="00B94485"/>
    <w:rsid w:val="00B94E52"/>
    <w:rsid w:val="00BA2EA8"/>
    <w:rsid w:val="00BA4014"/>
    <w:rsid w:val="00BB0A20"/>
    <w:rsid w:val="00BB5E93"/>
    <w:rsid w:val="00BD3CFA"/>
    <w:rsid w:val="00BE08F9"/>
    <w:rsid w:val="00BE5004"/>
    <w:rsid w:val="00BF1BA1"/>
    <w:rsid w:val="00BF62AD"/>
    <w:rsid w:val="00C030C6"/>
    <w:rsid w:val="00C04B64"/>
    <w:rsid w:val="00C067A3"/>
    <w:rsid w:val="00C06D14"/>
    <w:rsid w:val="00C07264"/>
    <w:rsid w:val="00C21B45"/>
    <w:rsid w:val="00C231AE"/>
    <w:rsid w:val="00C25DB6"/>
    <w:rsid w:val="00C3125F"/>
    <w:rsid w:val="00C41406"/>
    <w:rsid w:val="00C42021"/>
    <w:rsid w:val="00C422D6"/>
    <w:rsid w:val="00C42FED"/>
    <w:rsid w:val="00C45A51"/>
    <w:rsid w:val="00C53D59"/>
    <w:rsid w:val="00C5465F"/>
    <w:rsid w:val="00C607C5"/>
    <w:rsid w:val="00C60D5B"/>
    <w:rsid w:val="00C63801"/>
    <w:rsid w:val="00C64537"/>
    <w:rsid w:val="00C64F6B"/>
    <w:rsid w:val="00C750D3"/>
    <w:rsid w:val="00C75BD0"/>
    <w:rsid w:val="00C76196"/>
    <w:rsid w:val="00C76218"/>
    <w:rsid w:val="00C76A11"/>
    <w:rsid w:val="00C800AB"/>
    <w:rsid w:val="00C81BD0"/>
    <w:rsid w:val="00C84AF8"/>
    <w:rsid w:val="00C84B01"/>
    <w:rsid w:val="00C85BE0"/>
    <w:rsid w:val="00C90CDC"/>
    <w:rsid w:val="00C91E92"/>
    <w:rsid w:val="00C965E9"/>
    <w:rsid w:val="00C96CE2"/>
    <w:rsid w:val="00CA2D6C"/>
    <w:rsid w:val="00CA339C"/>
    <w:rsid w:val="00CA4200"/>
    <w:rsid w:val="00CA5E45"/>
    <w:rsid w:val="00CB3796"/>
    <w:rsid w:val="00CB44D7"/>
    <w:rsid w:val="00CB6181"/>
    <w:rsid w:val="00CB72DF"/>
    <w:rsid w:val="00CB7A3B"/>
    <w:rsid w:val="00CC0345"/>
    <w:rsid w:val="00CC0FFD"/>
    <w:rsid w:val="00CC26E9"/>
    <w:rsid w:val="00CC342F"/>
    <w:rsid w:val="00CC5076"/>
    <w:rsid w:val="00CC63A7"/>
    <w:rsid w:val="00CC7EDA"/>
    <w:rsid w:val="00CD0684"/>
    <w:rsid w:val="00CD1245"/>
    <w:rsid w:val="00CD6EA6"/>
    <w:rsid w:val="00CD762A"/>
    <w:rsid w:val="00CE4DF8"/>
    <w:rsid w:val="00CF0497"/>
    <w:rsid w:val="00CF5730"/>
    <w:rsid w:val="00D01A0C"/>
    <w:rsid w:val="00D1162D"/>
    <w:rsid w:val="00D11ECB"/>
    <w:rsid w:val="00D12A67"/>
    <w:rsid w:val="00D12AFC"/>
    <w:rsid w:val="00D12DC4"/>
    <w:rsid w:val="00D13071"/>
    <w:rsid w:val="00D143BF"/>
    <w:rsid w:val="00D17065"/>
    <w:rsid w:val="00D22897"/>
    <w:rsid w:val="00D232CA"/>
    <w:rsid w:val="00D24E71"/>
    <w:rsid w:val="00D27347"/>
    <w:rsid w:val="00D32EE6"/>
    <w:rsid w:val="00D33648"/>
    <w:rsid w:val="00D339B3"/>
    <w:rsid w:val="00D36B99"/>
    <w:rsid w:val="00D43F55"/>
    <w:rsid w:val="00D52A5C"/>
    <w:rsid w:val="00D52FC8"/>
    <w:rsid w:val="00D5316A"/>
    <w:rsid w:val="00D53CE8"/>
    <w:rsid w:val="00D54D0E"/>
    <w:rsid w:val="00D63BC1"/>
    <w:rsid w:val="00D70882"/>
    <w:rsid w:val="00D73315"/>
    <w:rsid w:val="00D73390"/>
    <w:rsid w:val="00D73905"/>
    <w:rsid w:val="00D7585E"/>
    <w:rsid w:val="00D82A38"/>
    <w:rsid w:val="00D83470"/>
    <w:rsid w:val="00D8440C"/>
    <w:rsid w:val="00D877C5"/>
    <w:rsid w:val="00D91838"/>
    <w:rsid w:val="00D9777C"/>
    <w:rsid w:val="00D9790B"/>
    <w:rsid w:val="00DA627E"/>
    <w:rsid w:val="00DB1C78"/>
    <w:rsid w:val="00DB3C76"/>
    <w:rsid w:val="00DC0A9E"/>
    <w:rsid w:val="00DC136C"/>
    <w:rsid w:val="00DC162E"/>
    <w:rsid w:val="00DD0765"/>
    <w:rsid w:val="00DD369A"/>
    <w:rsid w:val="00DD5A40"/>
    <w:rsid w:val="00DE0060"/>
    <w:rsid w:val="00DE7D05"/>
    <w:rsid w:val="00DF142E"/>
    <w:rsid w:val="00DF49A4"/>
    <w:rsid w:val="00DF710D"/>
    <w:rsid w:val="00DF71EB"/>
    <w:rsid w:val="00DF71FF"/>
    <w:rsid w:val="00E000E6"/>
    <w:rsid w:val="00E062DB"/>
    <w:rsid w:val="00E0761E"/>
    <w:rsid w:val="00E16025"/>
    <w:rsid w:val="00E16CA1"/>
    <w:rsid w:val="00E21746"/>
    <w:rsid w:val="00E26029"/>
    <w:rsid w:val="00E307A5"/>
    <w:rsid w:val="00E43C78"/>
    <w:rsid w:val="00E46160"/>
    <w:rsid w:val="00E4616E"/>
    <w:rsid w:val="00E541E5"/>
    <w:rsid w:val="00E55963"/>
    <w:rsid w:val="00E67C63"/>
    <w:rsid w:val="00E7029A"/>
    <w:rsid w:val="00E764E4"/>
    <w:rsid w:val="00E81440"/>
    <w:rsid w:val="00E872A9"/>
    <w:rsid w:val="00E96E33"/>
    <w:rsid w:val="00EA4F62"/>
    <w:rsid w:val="00EB13C0"/>
    <w:rsid w:val="00EB162B"/>
    <w:rsid w:val="00EB27C6"/>
    <w:rsid w:val="00EB456C"/>
    <w:rsid w:val="00EB5D09"/>
    <w:rsid w:val="00EC29A9"/>
    <w:rsid w:val="00EC5D8C"/>
    <w:rsid w:val="00ED0F38"/>
    <w:rsid w:val="00ED4305"/>
    <w:rsid w:val="00EE11B7"/>
    <w:rsid w:val="00EE182C"/>
    <w:rsid w:val="00EE41CC"/>
    <w:rsid w:val="00EE4413"/>
    <w:rsid w:val="00EF4E65"/>
    <w:rsid w:val="00F00926"/>
    <w:rsid w:val="00F075A6"/>
    <w:rsid w:val="00F11B55"/>
    <w:rsid w:val="00F163BE"/>
    <w:rsid w:val="00F17814"/>
    <w:rsid w:val="00F20DCF"/>
    <w:rsid w:val="00F222DC"/>
    <w:rsid w:val="00F2301B"/>
    <w:rsid w:val="00F25232"/>
    <w:rsid w:val="00F26418"/>
    <w:rsid w:val="00F26748"/>
    <w:rsid w:val="00F30AFB"/>
    <w:rsid w:val="00F318E7"/>
    <w:rsid w:val="00F325A9"/>
    <w:rsid w:val="00F326AD"/>
    <w:rsid w:val="00F336B0"/>
    <w:rsid w:val="00F418F7"/>
    <w:rsid w:val="00F42053"/>
    <w:rsid w:val="00F478DD"/>
    <w:rsid w:val="00F5045C"/>
    <w:rsid w:val="00F6234A"/>
    <w:rsid w:val="00F6483C"/>
    <w:rsid w:val="00F64B60"/>
    <w:rsid w:val="00F7168C"/>
    <w:rsid w:val="00F75D0B"/>
    <w:rsid w:val="00F7741B"/>
    <w:rsid w:val="00F83263"/>
    <w:rsid w:val="00F87076"/>
    <w:rsid w:val="00F945C5"/>
    <w:rsid w:val="00F94BE9"/>
    <w:rsid w:val="00F94E8A"/>
    <w:rsid w:val="00F96D24"/>
    <w:rsid w:val="00F97724"/>
    <w:rsid w:val="00FA16D9"/>
    <w:rsid w:val="00FA1E17"/>
    <w:rsid w:val="00FA207C"/>
    <w:rsid w:val="00FA452C"/>
    <w:rsid w:val="00FB4C88"/>
    <w:rsid w:val="00FB66BB"/>
    <w:rsid w:val="00FC2C65"/>
    <w:rsid w:val="00FD1455"/>
    <w:rsid w:val="00FD2E08"/>
    <w:rsid w:val="00FF04EA"/>
    <w:rsid w:val="00FF2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65"/>
    <w:pPr>
      <w:spacing w:after="200" w:line="276" w:lineRule="auto"/>
    </w:pPr>
    <w:rPr>
      <w:sz w:val="22"/>
      <w:szCs w:val="22"/>
      <w:lang w:eastAsia="en-US"/>
    </w:rPr>
  </w:style>
  <w:style w:type="paragraph" w:styleId="Heading2">
    <w:name w:val="heading 2"/>
    <w:basedOn w:val="Normal"/>
    <w:link w:val="Heading2Char"/>
    <w:uiPriority w:val="9"/>
    <w:qFormat/>
    <w:rsid w:val="005B15F1"/>
    <w:pPr>
      <w:spacing w:after="0" w:line="240" w:lineRule="auto"/>
      <w:outlineLvl w:val="1"/>
    </w:pPr>
    <w:rPr>
      <w:rFonts w:ascii="Arial" w:eastAsia="Times New Roman" w:hAnsi="Arial" w:cs="Arial"/>
      <w:b/>
      <w:bCs/>
      <w:color w:val="336699"/>
      <w:sz w:val="15"/>
      <w:szCs w:val="15"/>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34"/>
    <w:rPr>
      <w:rFonts w:ascii="Tahoma" w:hAnsi="Tahoma" w:cs="Tahoma"/>
      <w:sz w:val="16"/>
      <w:szCs w:val="16"/>
    </w:rPr>
  </w:style>
  <w:style w:type="paragraph" w:styleId="Header">
    <w:name w:val="header"/>
    <w:basedOn w:val="Normal"/>
    <w:link w:val="HeaderChar"/>
    <w:uiPriority w:val="99"/>
    <w:unhideWhenUsed/>
    <w:rsid w:val="00863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31F"/>
  </w:style>
  <w:style w:type="paragraph" w:styleId="Footer">
    <w:name w:val="footer"/>
    <w:basedOn w:val="Normal"/>
    <w:link w:val="FooterChar"/>
    <w:uiPriority w:val="99"/>
    <w:unhideWhenUsed/>
    <w:rsid w:val="00863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31F"/>
  </w:style>
  <w:style w:type="paragraph" w:styleId="NoSpacing">
    <w:name w:val="No Spacing"/>
    <w:link w:val="NoSpacingChar"/>
    <w:uiPriority w:val="1"/>
    <w:qFormat/>
    <w:rsid w:val="00C60D5B"/>
    <w:rPr>
      <w:rFonts w:eastAsia="Times New Roman"/>
      <w:sz w:val="22"/>
      <w:szCs w:val="22"/>
      <w:lang w:eastAsia="en-US"/>
    </w:rPr>
  </w:style>
  <w:style w:type="character" w:customStyle="1" w:styleId="NoSpacingChar">
    <w:name w:val="No Spacing Char"/>
    <w:basedOn w:val="DefaultParagraphFont"/>
    <w:link w:val="NoSpacing"/>
    <w:uiPriority w:val="1"/>
    <w:rsid w:val="00C60D5B"/>
    <w:rPr>
      <w:rFonts w:eastAsia="Times New Roman"/>
      <w:sz w:val="22"/>
      <w:szCs w:val="22"/>
      <w:lang w:val="pl-PL" w:eastAsia="en-US" w:bidi="ar-SA"/>
    </w:rPr>
  </w:style>
  <w:style w:type="paragraph" w:styleId="BodyText2">
    <w:name w:val="Body Text 2"/>
    <w:basedOn w:val="Normal"/>
    <w:link w:val="BodyText2Char"/>
    <w:rsid w:val="00F87076"/>
    <w:pPr>
      <w:spacing w:after="0" w:line="360" w:lineRule="auto"/>
      <w:jc w:val="both"/>
    </w:pPr>
    <w:rPr>
      <w:rFonts w:ascii="Arial" w:eastAsia="Times New Roman" w:hAnsi="Arial"/>
      <w:sz w:val="24"/>
      <w:szCs w:val="20"/>
      <w:lang w:eastAsia="pl-PL"/>
    </w:rPr>
  </w:style>
  <w:style w:type="character" w:customStyle="1" w:styleId="BodyText2Char">
    <w:name w:val="Body Text 2 Char"/>
    <w:basedOn w:val="DefaultParagraphFont"/>
    <w:link w:val="BodyText2"/>
    <w:rsid w:val="00F87076"/>
    <w:rPr>
      <w:rFonts w:ascii="Arial" w:eastAsia="Times New Roman" w:hAnsi="Arial"/>
      <w:sz w:val="24"/>
    </w:rPr>
  </w:style>
  <w:style w:type="paragraph" w:styleId="ListParagraph">
    <w:name w:val="List Paragraph"/>
    <w:basedOn w:val="Normal"/>
    <w:uiPriority w:val="34"/>
    <w:qFormat/>
    <w:rsid w:val="00F87076"/>
    <w:pPr>
      <w:spacing w:after="0" w:line="240" w:lineRule="auto"/>
      <w:ind w:left="720"/>
      <w:contextualSpacing/>
    </w:pPr>
    <w:rPr>
      <w:rFonts w:ascii="Arial" w:eastAsia="Times New Roman" w:hAnsi="Arial"/>
      <w:sz w:val="24"/>
      <w:szCs w:val="24"/>
      <w:lang w:eastAsia="pl-PL"/>
    </w:rPr>
  </w:style>
  <w:style w:type="paragraph" w:styleId="NormalWeb">
    <w:name w:val="Normal (Web)"/>
    <w:basedOn w:val="Normal"/>
    <w:uiPriority w:val="99"/>
    <w:unhideWhenUsed/>
    <w:rsid w:val="0073406D"/>
    <w:pPr>
      <w:spacing w:after="0" w:line="270" w:lineRule="atLeast"/>
    </w:pPr>
    <w:rPr>
      <w:rFonts w:ascii="Tahoma" w:eastAsia="Times New Roman" w:hAnsi="Tahoma" w:cs="Tahoma"/>
      <w:color w:val="666666"/>
      <w:sz w:val="17"/>
      <w:szCs w:val="17"/>
      <w:lang w:eastAsia="pl-PL"/>
    </w:rPr>
  </w:style>
  <w:style w:type="character" w:styleId="Strong">
    <w:name w:val="Strong"/>
    <w:basedOn w:val="DefaultParagraphFont"/>
    <w:uiPriority w:val="22"/>
    <w:qFormat/>
    <w:rsid w:val="0073406D"/>
    <w:rPr>
      <w:b/>
      <w:bCs/>
    </w:rPr>
  </w:style>
  <w:style w:type="table" w:styleId="TableGrid">
    <w:name w:val="Table Grid"/>
    <w:basedOn w:val="TableNormal"/>
    <w:uiPriority w:val="59"/>
    <w:rsid w:val="00734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6418"/>
    <w:rPr>
      <w:sz w:val="16"/>
      <w:szCs w:val="16"/>
    </w:rPr>
  </w:style>
  <w:style w:type="paragraph" w:styleId="CommentText">
    <w:name w:val="annotation text"/>
    <w:basedOn w:val="Normal"/>
    <w:link w:val="CommentTextChar"/>
    <w:uiPriority w:val="99"/>
    <w:semiHidden/>
    <w:unhideWhenUsed/>
    <w:rsid w:val="00F26418"/>
    <w:pPr>
      <w:spacing w:line="240" w:lineRule="auto"/>
    </w:pPr>
    <w:rPr>
      <w:sz w:val="20"/>
      <w:szCs w:val="20"/>
    </w:rPr>
  </w:style>
  <w:style w:type="character" w:customStyle="1" w:styleId="CommentTextChar">
    <w:name w:val="Comment Text Char"/>
    <w:basedOn w:val="DefaultParagraphFont"/>
    <w:link w:val="CommentText"/>
    <w:uiPriority w:val="99"/>
    <w:semiHidden/>
    <w:rsid w:val="00F26418"/>
    <w:rPr>
      <w:lang w:eastAsia="en-US"/>
    </w:rPr>
  </w:style>
  <w:style w:type="paragraph" w:styleId="CommentSubject">
    <w:name w:val="annotation subject"/>
    <w:basedOn w:val="CommentText"/>
    <w:next w:val="CommentText"/>
    <w:link w:val="CommentSubjectChar"/>
    <w:uiPriority w:val="99"/>
    <w:semiHidden/>
    <w:unhideWhenUsed/>
    <w:rsid w:val="00F26418"/>
    <w:rPr>
      <w:b/>
      <w:bCs/>
    </w:rPr>
  </w:style>
  <w:style w:type="character" w:customStyle="1" w:styleId="CommentSubjectChar">
    <w:name w:val="Comment Subject Char"/>
    <w:basedOn w:val="CommentTextChar"/>
    <w:link w:val="CommentSubject"/>
    <w:uiPriority w:val="99"/>
    <w:semiHidden/>
    <w:rsid w:val="00F26418"/>
    <w:rPr>
      <w:b/>
      <w:bCs/>
      <w:lang w:eastAsia="en-US"/>
    </w:rPr>
  </w:style>
  <w:style w:type="character" w:styleId="Hyperlink">
    <w:name w:val="Hyperlink"/>
    <w:basedOn w:val="DefaultParagraphFont"/>
    <w:rsid w:val="003D32C6"/>
    <w:rPr>
      <w:color w:val="0000FF"/>
      <w:u w:val="single"/>
    </w:rPr>
  </w:style>
  <w:style w:type="character" w:customStyle="1" w:styleId="Heading2Char">
    <w:name w:val="Heading 2 Char"/>
    <w:basedOn w:val="DefaultParagraphFont"/>
    <w:link w:val="Heading2"/>
    <w:uiPriority w:val="9"/>
    <w:rsid w:val="005B15F1"/>
    <w:rPr>
      <w:rFonts w:ascii="Arial" w:eastAsia="Times New Roman" w:hAnsi="Arial" w:cs="Arial"/>
      <w:b/>
      <w:bCs/>
      <w:color w:val="336699"/>
      <w:sz w:val="15"/>
      <w:szCs w:val="15"/>
    </w:rPr>
  </w:style>
  <w:style w:type="character" w:styleId="Emphasis">
    <w:name w:val="Emphasis"/>
    <w:basedOn w:val="DefaultParagraphFont"/>
    <w:uiPriority w:val="20"/>
    <w:qFormat/>
    <w:rsid w:val="00AE35D3"/>
    <w:rPr>
      <w:i/>
      <w:iCs/>
    </w:rPr>
  </w:style>
  <w:style w:type="paragraph" w:styleId="EndnoteText">
    <w:name w:val="endnote text"/>
    <w:basedOn w:val="Normal"/>
    <w:link w:val="TekstprzypisukocowegoZnak"/>
    <w:uiPriority w:val="99"/>
    <w:semiHidden/>
    <w:unhideWhenUsed/>
    <w:rsid w:val="00673AAB"/>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673AAB"/>
    <w:rPr>
      <w:lang w:eastAsia="en-US"/>
    </w:rPr>
  </w:style>
  <w:style w:type="character" w:styleId="EndnoteReference">
    <w:name w:val="endnote reference"/>
    <w:basedOn w:val="DefaultParagraphFont"/>
    <w:uiPriority w:val="99"/>
    <w:semiHidden/>
    <w:unhideWhenUsed/>
    <w:rsid w:val="00673A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65"/>
    <w:pPr>
      <w:spacing w:after="200" w:line="276" w:lineRule="auto"/>
    </w:pPr>
    <w:rPr>
      <w:sz w:val="22"/>
      <w:szCs w:val="22"/>
      <w:lang w:eastAsia="en-US"/>
    </w:rPr>
  </w:style>
  <w:style w:type="paragraph" w:styleId="Heading2">
    <w:name w:val="heading 2"/>
    <w:basedOn w:val="Normal"/>
    <w:link w:val="Heading2Char"/>
    <w:uiPriority w:val="9"/>
    <w:qFormat/>
    <w:rsid w:val="005B15F1"/>
    <w:pPr>
      <w:spacing w:after="0" w:line="240" w:lineRule="auto"/>
      <w:outlineLvl w:val="1"/>
    </w:pPr>
    <w:rPr>
      <w:rFonts w:ascii="Arial" w:eastAsia="Times New Roman" w:hAnsi="Arial" w:cs="Arial"/>
      <w:b/>
      <w:bCs/>
      <w:color w:val="336699"/>
      <w:sz w:val="15"/>
      <w:szCs w:val="15"/>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34"/>
    <w:rPr>
      <w:rFonts w:ascii="Tahoma" w:hAnsi="Tahoma" w:cs="Tahoma"/>
      <w:sz w:val="16"/>
      <w:szCs w:val="16"/>
    </w:rPr>
  </w:style>
  <w:style w:type="paragraph" w:styleId="Header">
    <w:name w:val="header"/>
    <w:basedOn w:val="Normal"/>
    <w:link w:val="HeaderChar"/>
    <w:uiPriority w:val="99"/>
    <w:unhideWhenUsed/>
    <w:rsid w:val="00863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31F"/>
  </w:style>
  <w:style w:type="paragraph" w:styleId="Footer">
    <w:name w:val="footer"/>
    <w:basedOn w:val="Normal"/>
    <w:link w:val="FooterChar"/>
    <w:uiPriority w:val="99"/>
    <w:unhideWhenUsed/>
    <w:rsid w:val="00863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31F"/>
  </w:style>
  <w:style w:type="paragraph" w:styleId="NoSpacing">
    <w:name w:val="No Spacing"/>
    <w:link w:val="NoSpacingChar"/>
    <w:uiPriority w:val="1"/>
    <w:qFormat/>
    <w:rsid w:val="00C60D5B"/>
    <w:rPr>
      <w:rFonts w:eastAsia="Times New Roman"/>
      <w:sz w:val="22"/>
      <w:szCs w:val="22"/>
      <w:lang w:eastAsia="en-US"/>
    </w:rPr>
  </w:style>
  <w:style w:type="character" w:customStyle="1" w:styleId="NoSpacingChar">
    <w:name w:val="No Spacing Char"/>
    <w:basedOn w:val="DefaultParagraphFont"/>
    <w:link w:val="NoSpacing"/>
    <w:uiPriority w:val="1"/>
    <w:rsid w:val="00C60D5B"/>
    <w:rPr>
      <w:rFonts w:eastAsia="Times New Roman"/>
      <w:sz w:val="22"/>
      <w:szCs w:val="22"/>
      <w:lang w:val="pl-PL" w:eastAsia="en-US" w:bidi="ar-SA"/>
    </w:rPr>
  </w:style>
  <w:style w:type="paragraph" w:styleId="BodyText2">
    <w:name w:val="Body Text 2"/>
    <w:basedOn w:val="Normal"/>
    <w:link w:val="BodyText2Char"/>
    <w:rsid w:val="00F87076"/>
    <w:pPr>
      <w:spacing w:after="0" w:line="360" w:lineRule="auto"/>
      <w:jc w:val="both"/>
    </w:pPr>
    <w:rPr>
      <w:rFonts w:ascii="Arial" w:eastAsia="Times New Roman" w:hAnsi="Arial"/>
      <w:sz w:val="24"/>
      <w:szCs w:val="20"/>
      <w:lang w:eastAsia="pl-PL"/>
    </w:rPr>
  </w:style>
  <w:style w:type="character" w:customStyle="1" w:styleId="BodyText2Char">
    <w:name w:val="Body Text 2 Char"/>
    <w:basedOn w:val="DefaultParagraphFont"/>
    <w:link w:val="BodyText2"/>
    <w:rsid w:val="00F87076"/>
    <w:rPr>
      <w:rFonts w:ascii="Arial" w:eastAsia="Times New Roman" w:hAnsi="Arial"/>
      <w:sz w:val="24"/>
    </w:rPr>
  </w:style>
  <w:style w:type="paragraph" w:styleId="ListParagraph">
    <w:name w:val="List Paragraph"/>
    <w:basedOn w:val="Normal"/>
    <w:uiPriority w:val="34"/>
    <w:qFormat/>
    <w:rsid w:val="00F87076"/>
    <w:pPr>
      <w:spacing w:after="0" w:line="240" w:lineRule="auto"/>
      <w:ind w:left="720"/>
      <w:contextualSpacing/>
    </w:pPr>
    <w:rPr>
      <w:rFonts w:ascii="Arial" w:eastAsia="Times New Roman" w:hAnsi="Arial"/>
      <w:sz w:val="24"/>
      <w:szCs w:val="24"/>
      <w:lang w:eastAsia="pl-PL"/>
    </w:rPr>
  </w:style>
  <w:style w:type="paragraph" w:styleId="NormalWeb">
    <w:name w:val="Normal (Web)"/>
    <w:basedOn w:val="Normal"/>
    <w:uiPriority w:val="99"/>
    <w:unhideWhenUsed/>
    <w:rsid w:val="0073406D"/>
    <w:pPr>
      <w:spacing w:after="0" w:line="270" w:lineRule="atLeast"/>
    </w:pPr>
    <w:rPr>
      <w:rFonts w:ascii="Tahoma" w:eastAsia="Times New Roman" w:hAnsi="Tahoma" w:cs="Tahoma"/>
      <w:color w:val="666666"/>
      <w:sz w:val="17"/>
      <w:szCs w:val="17"/>
      <w:lang w:eastAsia="pl-PL"/>
    </w:rPr>
  </w:style>
  <w:style w:type="character" w:styleId="Strong">
    <w:name w:val="Strong"/>
    <w:basedOn w:val="DefaultParagraphFont"/>
    <w:uiPriority w:val="22"/>
    <w:qFormat/>
    <w:rsid w:val="0073406D"/>
    <w:rPr>
      <w:b/>
      <w:bCs/>
    </w:rPr>
  </w:style>
  <w:style w:type="table" w:styleId="TableGrid">
    <w:name w:val="Table Grid"/>
    <w:basedOn w:val="TableNormal"/>
    <w:uiPriority w:val="59"/>
    <w:rsid w:val="00734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6418"/>
    <w:rPr>
      <w:sz w:val="16"/>
      <w:szCs w:val="16"/>
    </w:rPr>
  </w:style>
  <w:style w:type="paragraph" w:styleId="CommentText">
    <w:name w:val="annotation text"/>
    <w:basedOn w:val="Normal"/>
    <w:link w:val="CommentTextChar"/>
    <w:uiPriority w:val="99"/>
    <w:semiHidden/>
    <w:unhideWhenUsed/>
    <w:rsid w:val="00F26418"/>
    <w:pPr>
      <w:spacing w:line="240" w:lineRule="auto"/>
    </w:pPr>
    <w:rPr>
      <w:sz w:val="20"/>
      <w:szCs w:val="20"/>
    </w:rPr>
  </w:style>
  <w:style w:type="character" w:customStyle="1" w:styleId="CommentTextChar">
    <w:name w:val="Comment Text Char"/>
    <w:basedOn w:val="DefaultParagraphFont"/>
    <w:link w:val="CommentText"/>
    <w:uiPriority w:val="99"/>
    <w:semiHidden/>
    <w:rsid w:val="00F26418"/>
    <w:rPr>
      <w:lang w:eastAsia="en-US"/>
    </w:rPr>
  </w:style>
  <w:style w:type="paragraph" w:styleId="CommentSubject">
    <w:name w:val="annotation subject"/>
    <w:basedOn w:val="CommentText"/>
    <w:next w:val="CommentText"/>
    <w:link w:val="CommentSubjectChar"/>
    <w:uiPriority w:val="99"/>
    <w:semiHidden/>
    <w:unhideWhenUsed/>
    <w:rsid w:val="00F26418"/>
    <w:rPr>
      <w:b/>
      <w:bCs/>
    </w:rPr>
  </w:style>
  <w:style w:type="character" w:customStyle="1" w:styleId="CommentSubjectChar">
    <w:name w:val="Comment Subject Char"/>
    <w:basedOn w:val="CommentTextChar"/>
    <w:link w:val="CommentSubject"/>
    <w:uiPriority w:val="99"/>
    <w:semiHidden/>
    <w:rsid w:val="00F26418"/>
    <w:rPr>
      <w:b/>
      <w:bCs/>
      <w:lang w:eastAsia="en-US"/>
    </w:rPr>
  </w:style>
  <w:style w:type="character" w:styleId="Hyperlink">
    <w:name w:val="Hyperlink"/>
    <w:basedOn w:val="DefaultParagraphFont"/>
    <w:rsid w:val="003D32C6"/>
    <w:rPr>
      <w:color w:val="0000FF"/>
      <w:u w:val="single"/>
    </w:rPr>
  </w:style>
  <w:style w:type="character" w:customStyle="1" w:styleId="Heading2Char">
    <w:name w:val="Heading 2 Char"/>
    <w:basedOn w:val="DefaultParagraphFont"/>
    <w:link w:val="Heading2"/>
    <w:uiPriority w:val="9"/>
    <w:rsid w:val="005B15F1"/>
    <w:rPr>
      <w:rFonts w:ascii="Arial" w:eastAsia="Times New Roman" w:hAnsi="Arial" w:cs="Arial"/>
      <w:b/>
      <w:bCs/>
      <w:color w:val="336699"/>
      <w:sz w:val="15"/>
      <w:szCs w:val="15"/>
    </w:rPr>
  </w:style>
  <w:style w:type="character" w:styleId="Emphasis">
    <w:name w:val="Emphasis"/>
    <w:basedOn w:val="DefaultParagraphFont"/>
    <w:uiPriority w:val="20"/>
    <w:qFormat/>
    <w:rsid w:val="00AE35D3"/>
    <w:rPr>
      <w:i/>
      <w:iCs/>
    </w:rPr>
  </w:style>
  <w:style w:type="paragraph" w:styleId="EndnoteText">
    <w:name w:val="endnote text"/>
    <w:basedOn w:val="Normal"/>
    <w:link w:val="TekstprzypisukocowegoZnak"/>
    <w:uiPriority w:val="99"/>
    <w:semiHidden/>
    <w:unhideWhenUsed/>
    <w:rsid w:val="00673AAB"/>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673AAB"/>
    <w:rPr>
      <w:lang w:eastAsia="en-US"/>
    </w:rPr>
  </w:style>
  <w:style w:type="character" w:styleId="EndnoteReference">
    <w:name w:val="endnote reference"/>
    <w:basedOn w:val="DefaultParagraphFont"/>
    <w:uiPriority w:val="99"/>
    <w:semiHidden/>
    <w:unhideWhenUsed/>
    <w:rsid w:val="00673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40">
      <w:bodyDiv w:val="1"/>
      <w:marLeft w:val="0"/>
      <w:marRight w:val="0"/>
      <w:marTop w:val="0"/>
      <w:marBottom w:val="0"/>
      <w:divBdr>
        <w:top w:val="none" w:sz="0" w:space="0" w:color="auto"/>
        <w:left w:val="none" w:sz="0" w:space="0" w:color="auto"/>
        <w:bottom w:val="none" w:sz="0" w:space="0" w:color="auto"/>
        <w:right w:val="none" w:sz="0" w:space="0" w:color="auto"/>
      </w:divBdr>
    </w:div>
    <w:div w:id="21327162">
      <w:bodyDiv w:val="1"/>
      <w:marLeft w:val="0"/>
      <w:marRight w:val="0"/>
      <w:marTop w:val="0"/>
      <w:marBottom w:val="0"/>
      <w:divBdr>
        <w:top w:val="none" w:sz="0" w:space="0" w:color="auto"/>
        <w:left w:val="none" w:sz="0" w:space="0" w:color="auto"/>
        <w:bottom w:val="none" w:sz="0" w:space="0" w:color="auto"/>
        <w:right w:val="none" w:sz="0" w:space="0" w:color="auto"/>
      </w:divBdr>
    </w:div>
    <w:div w:id="111050679">
      <w:bodyDiv w:val="1"/>
      <w:marLeft w:val="0"/>
      <w:marRight w:val="0"/>
      <w:marTop w:val="0"/>
      <w:marBottom w:val="0"/>
      <w:divBdr>
        <w:top w:val="none" w:sz="0" w:space="0" w:color="auto"/>
        <w:left w:val="none" w:sz="0" w:space="0" w:color="auto"/>
        <w:bottom w:val="none" w:sz="0" w:space="0" w:color="auto"/>
        <w:right w:val="none" w:sz="0" w:space="0" w:color="auto"/>
      </w:divBdr>
    </w:div>
    <w:div w:id="243340404">
      <w:bodyDiv w:val="1"/>
      <w:marLeft w:val="0"/>
      <w:marRight w:val="0"/>
      <w:marTop w:val="0"/>
      <w:marBottom w:val="0"/>
      <w:divBdr>
        <w:top w:val="none" w:sz="0" w:space="0" w:color="auto"/>
        <w:left w:val="none" w:sz="0" w:space="0" w:color="auto"/>
        <w:bottom w:val="none" w:sz="0" w:space="0" w:color="auto"/>
        <w:right w:val="none" w:sz="0" w:space="0" w:color="auto"/>
      </w:divBdr>
    </w:div>
    <w:div w:id="314990495">
      <w:bodyDiv w:val="1"/>
      <w:marLeft w:val="0"/>
      <w:marRight w:val="0"/>
      <w:marTop w:val="0"/>
      <w:marBottom w:val="0"/>
      <w:divBdr>
        <w:top w:val="none" w:sz="0" w:space="0" w:color="auto"/>
        <w:left w:val="none" w:sz="0" w:space="0" w:color="auto"/>
        <w:bottom w:val="none" w:sz="0" w:space="0" w:color="auto"/>
        <w:right w:val="none" w:sz="0" w:space="0" w:color="auto"/>
      </w:divBdr>
    </w:div>
    <w:div w:id="338893713">
      <w:bodyDiv w:val="1"/>
      <w:marLeft w:val="0"/>
      <w:marRight w:val="0"/>
      <w:marTop w:val="0"/>
      <w:marBottom w:val="0"/>
      <w:divBdr>
        <w:top w:val="none" w:sz="0" w:space="0" w:color="auto"/>
        <w:left w:val="none" w:sz="0" w:space="0" w:color="auto"/>
        <w:bottom w:val="none" w:sz="0" w:space="0" w:color="auto"/>
        <w:right w:val="none" w:sz="0" w:space="0" w:color="auto"/>
      </w:divBdr>
    </w:div>
    <w:div w:id="406339627">
      <w:bodyDiv w:val="1"/>
      <w:marLeft w:val="0"/>
      <w:marRight w:val="0"/>
      <w:marTop w:val="0"/>
      <w:marBottom w:val="0"/>
      <w:divBdr>
        <w:top w:val="none" w:sz="0" w:space="0" w:color="auto"/>
        <w:left w:val="none" w:sz="0" w:space="0" w:color="auto"/>
        <w:bottom w:val="none" w:sz="0" w:space="0" w:color="auto"/>
        <w:right w:val="none" w:sz="0" w:space="0" w:color="auto"/>
      </w:divBdr>
    </w:div>
    <w:div w:id="406808829">
      <w:bodyDiv w:val="1"/>
      <w:marLeft w:val="0"/>
      <w:marRight w:val="0"/>
      <w:marTop w:val="0"/>
      <w:marBottom w:val="0"/>
      <w:divBdr>
        <w:top w:val="none" w:sz="0" w:space="0" w:color="auto"/>
        <w:left w:val="none" w:sz="0" w:space="0" w:color="auto"/>
        <w:bottom w:val="none" w:sz="0" w:space="0" w:color="auto"/>
        <w:right w:val="none" w:sz="0" w:space="0" w:color="auto"/>
      </w:divBdr>
    </w:div>
    <w:div w:id="481509064">
      <w:bodyDiv w:val="1"/>
      <w:marLeft w:val="0"/>
      <w:marRight w:val="0"/>
      <w:marTop w:val="0"/>
      <w:marBottom w:val="0"/>
      <w:divBdr>
        <w:top w:val="none" w:sz="0" w:space="0" w:color="auto"/>
        <w:left w:val="none" w:sz="0" w:space="0" w:color="auto"/>
        <w:bottom w:val="none" w:sz="0" w:space="0" w:color="auto"/>
        <w:right w:val="none" w:sz="0" w:space="0" w:color="auto"/>
      </w:divBdr>
    </w:div>
    <w:div w:id="531113577">
      <w:bodyDiv w:val="1"/>
      <w:marLeft w:val="0"/>
      <w:marRight w:val="0"/>
      <w:marTop w:val="0"/>
      <w:marBottom w:val="0"/>
      <w:divBdr>
        <w:top w:val="none" w:sz="0" w:space="0" w:color="auto"/>
        <w:left w:val="none" w:sz="0" w:space="0" w:color="auto"/>
        <w:bottom w:val="none" w:sz="0" w:space="0" w:color="auto"/>
        <w:right w:val="none" w:sz="0" w:space="0" w:color="auto"/>
      </w:divBdr>
    </w:div>
    <w:div w:id="568618205">
      <w:bodyDiv w:val="1"/>
      <w:marLeft w:val="0"/>
      <w:marRight w:val="0"/>
      <w:marTop w:val="0"/>
      <w:marBottom w:val="0"/>
      <w:divBdr>
        <w:top w:val="none" w:sz="0" w:space="0" w:color="auto"/>
        <w:left w:val="none" w:sz="0" w:space="0" w:color="auto"/>
        <w:bottom w:val="none" w:sz="0" w:space="0" w:color="auto"/>
        <w:right w:val="none" w:sz="0" w:space="0" w:color="auto"/>
      </w:divBdr>
    </w:div>
    <w:div w:id="845175261">
      <w:bodyDiv w:val="1"/>
      <w:marLeft w:val="0"/>
      <w:marRight w:val="0"/>
      <w:marTop w:val="0"/>
      <w:marBottom w:val="0"/>
      <w:divBdr>
        <w:top w:val="none" w:sz="0" w:space="0" w:color="auto"/>
        <w:left w:val="none" w:sz="0" w:space="0" w:color="auto"/>
        <w:bottom w:val="none" w:sz="0" w:space="0" w:color="auto"/>
        <w:right w:val="none" w:sz="0" w:space="0" w:color="auto"/>
      </w:divBdr>
      <w:divsChild>
        <w:div w:id="1546218765">
          <w:marLeft w:val="0"/>
          <w:marRight w:val="0"/>
          <w:marTop w:val="100"/>
          <w:marBottom w:val="100"/>
          <w:divBdr>
            <w:top w:val="none" w:sz="0" w:space="0" w:color="auto"/>
            <w:left w:val="none" w:sz="0" w:space="0" w:color="auto"/>
            <w:bottom w:val="none" w:sz="0" w:space="0" w:color="auto"/>
            <w:right w:val="none" w:sz="0" w:space="0" w:color="auto"/>
          </w:divBdr>
          <w:divsChild>
            <w:div w:id="2022312106">
              <w:marLeft w:val="0"/>
              <w:marRight w:val="0"/>
              <w:marTop w:val="0"/>
              <w:marBottom w:val="0"/>
              <w:divBdr>
                <w:top w:val="none" w:sz="0" w:space="0" w:color="auto"/>
                <w:left w:val="none" w:sz="0" w:space="0" w:color="auto"/>
                <w:bottom w:val="none" w:sz="0" w:space="0" w:color="auto"/>
                <w:right w:val="none" w:sz="0" w:space="0" w:color="auto"/>
              </w:divBdr>
              <w:divsChild>
                <w:div w:id="1503819067">
                  <w:marLeft w:val="0"/>
                  <w:marRight w:val="0"/>
                  <w:marTop w:val="0"/>
                  <w:marBottom w:val="0"/>
                  <w:divBdr>
                    <w:top w:val="none" w:sz="0" w:space="0" w:color="auto"/>
                    <w:left w:val="none" w:sz="0" w:space="0" w:color="auto"/>
                    <w:bottom w:val="none" w:sz="0" w:space="0" w:color="auto"/>
                    <w:right w:val="none" w:sz="0" w:space="0" w:color="auto"/>
                  </w:divBdr>
                  <w:divsChild>
                    <w:div w:id="223299147">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580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942879">
      <w:bodyDiv w:val="1"/>
      <w:marLeft w:val="0"/>
      <w:marRight w:val="0"/>
      <w:marTop w:val="0"/>
      <w:marBottom w:val="0"/>
      <w:divBdr>
        <w:top w:val="none" w:sz="0" w:space="0" w:color="auto"/>
        <w:left w:val="none" w:sz="0" w:space="0" w:color="auto"/>
        <w:bottom w:val="none" w:sz="0" w:space="0" w:color="auto"/>
        <w:right w:val="none" w:sz="0" w:space="0" w:color="auto"/>
      </w:divBdr>
    </w:div>
    <w:div w:id="1080129827">
      <w:bodyDiv w:val="1"/>
      <w:marLeft w:val="0"/>
      <w:marRight w:val="0"/>
      <w:marTop w:val="0"/>
      <w:marBottom w:val="0"/>
      <w:divBdr>
        <w:top w:val="none" w:sz="0" w:space="0" w:color="auto"/>
        <w:left w:val="none" w:sz="0" w:space="0" w:color="auto"/>
        <w:bottom w:val="none" w:sz="0" w:space="0" w:color="auto"/>
        <w:right w:val="none" w:sz="0" w:space="0" w:color="auto"/>
      </w:divBdr>
    </w:div>
    <w:div w:id="1197700150">
      <w:bodyDiv w:val="1"/>
      <w:marLeft w:val="0"/>
      <w:marRight w:val="0"/>
      <w:marTop w:val="0"/>
      <w:marBottom w:val="0"/>
      <w:divBdr>
        <w:top w:val="none" w:sz="0" w:space="0" w:color="auto"/>
        <w:left w:val="none" w:sz="0" w:space="0" w:color="auto"/>
        <w:bottom w:val="none" w:sz="0" w:space="0" w:color="auto"/>
        <w:right w:val="none" w:sz="0" w:space="0" w:color="auto"/>
      </w:divBdr>
      <w:divsChild>
        <w:div w:id="44262252">
          <w:marLeft w:val="0"/>
          <w:marRight w:val="0"/>
          <w:marTop w:val="100"/>
          <w:marBottom w:val="100"/>
          <w:divBdr>
            <w:top w:val="none" w:sz="0" w:space="0" w:color="auto"/>
            <w:left w:val="none" w:sz="0" w:space="0" w:color="auto"/>
            <w:bottom w:val="none" w:sz="0" w:space="0" w:color="auto"/>
            <w:right w:val="none" w:sz="0" w:space="0" w:color="auto"/>
          </w:divBdr>
          <w:divsChild>
            <w:div w:id="276522391">
              <w:marLeft w:val="136"/>
              <w:marRight w:val="0"/>
              <w:marTop w:val="0"/>
              <w:marBottom w:val="0"/>
              <w:divBdr>
                <w:top w:val="none" w:sz="0" w:space="0" w:color="auto"/>
                <w:left w:val="none" w:sz="0" w:space="0" w:color="auto"/>
                <w:bottom w:val="none" w:sz="0" w:space="0" w:color="auto"/>
                <w:right w:val="none" w:sz="0" w:space="0" w:color="auto"/>
              </w:divBdr>
              <w:divsChild>
                <w:div w:id="2098867117">
                  <w:marLeft w:val="0"/>
                  <w:marRight w:val="0"/>
                  <w:marTop w:val="0"/>
                  <w:marBottom w:val="136"/>
                  <w:divBdr>
                    <w:top w:val="single" w:sz="6" w:space="0" w:color="D5D8E0"/>
                    <w:left w:val="single" w:sz="6" w:space="0" w:color="D5D8E0"/>
                    <w:bottom w:val="single" w:sz="6" w:space="0" w:color="D5D8E0"/>
                    <w:right w:val="single" w:sz="6" w:space="0" w:color="D5D8E0"/>
                  </w:divBdr>
                  <w:divsChild>
                    <w:div w:id="6510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3659">
      <w:bodyDiv w:val="1"/>
      <w:marLeft w:val="0"/>
      <w:marRight w:val="0"/>
      <w:marTop w:val="0"/>
      <w:marBottom w:val="0"/>
      <w:divBdr>
        <w:top w:val="none" w:sz="0" w:space="0" w:color="auto"/>
        <w:left w:val="none" w:sz="0" w:space="0" w:color="auto"/>
        <w:bottom w:val="none" w:sz="0" w:space="0" w:color="auto"/>
        <w:right w:val="none" w:sz="0" w:space="0" w:color="auto"/>
      </w:divBdr>
      <w:divsChild>
        <w:div w:id="1354064895">
          <w:marLeft w:val="0"/>
          <w:marRight w:val="0"/>
          <w:marTop w:val="100"/>
          <w:marBottom w:val="100"/>
          <w:divBdr>
            <w:top w:val="none" w:sz="0" w:space="0" w:color="auto"/>
            <w:left w:val="none" w:sz="0" w:space="0" w:color="auto"/>
            <w:bottom w:val="none" w:sz="0" w:space="0" w:color="auto"/>
            <w:right w:val="none" w:sz="0" w:space="0" w:color="auto"/>
          </w:divBdr>
          <w:divsChild>
            <w:div w:id="10034710">
              <w:marLeft w:val="0"/>
              <w:marRight w:val="0"/>
              <w:marTop w:val="0"/>
              <w:marBottom w:val="0"/>
              <w:divBdr>
                <w:top w:val="none" w:sz="0" w:space="0" w:color="auto"/>
                <w:left w:val="none" w:sz="0" w:space="0" w:color="auto"/>
                <w:bottom w:val="none" w:sz="0" w:space="0" w:color="auto"/>
                <w:right w:val="none" w:sz="0" w:space="0" w:color="auto"/>
              </w:divBdr>
              <w:divsChild>
                <w:div w:id="1425414099">
                  <w:marLeft w:val="0"/>
                  <w:marRight w:val="0"/>
                  <w:marTop w:val="0"/>
                  <w:marBottom w:val="0"/>
                  <w:divBdr>
                    <w:top w:val="none" w:sz="0" w:space="0" w:color="auto"/>
                    <w:left w:val="none" w:sz="0" w:space="0" w:color="auto"/>
                    <w:bottom w:val="none" w:sz="0" w:space="0" w:color="auto"/>
                    <w:right w:val="none" w:sz="0" w:space="0" w:color="auto"/>
                  </w:divBdr>
                  <w:divsChild>
                    <w:div w:id="1933660368">
                      <w:marLeft w:val="0"/>
                      <w:marRight w:val="0"/>
                      <w:marTop w:val="0"/>
                      <w:marBottom w:val="225"/>
                      <w:divBdr>
                        <w:top w:val="single" w:sz="6" w:space="21" w:color="EDF2F7"/>
                        <w:left w:val="single" w:sz="6" w:space="11" w:color="EDF2F7"/>
                        <w:bottom w:val="single" w:sz="6" w:space="11" w:color="EDF2F7"/>
                        <w:right w:val="single" w:sz="6" w:space="11" w:color="EDF2F7"/>
                      </w:divBdr>
                      <w:divsChild>
                        <w:div w:id="16710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4003">
      <w:bodyDiv w:val="1"/>
      <w:marLeft w:val="0"/>
      <w:marRight w:val="0"/>
      <w:marTop w:val="0"/>
      <w:marBottom w:val="0"/>
      <w:divBdr>
        <w:top w:val="none" w:sz="0" w:space="0" w:color="auto"/>
        <w:left w:val="none" w:sz="0" w:space="0" w:color="auto"/>
        <w:bottom w:val="none" w:sz="0" w:space="0" w:color="auto"/>
        <w:right w:val="none" w:sz="0" w:space="0" w:color="auto"/>
      </w:divBdr>
    </w:div>
    <w:div w:id="1393187855">
      <w:bodyDiv w:val="1"/>
      <w:marLeft w:val="0"/>
      <w:marRight w:val="0"/>
      <w:marTop w:val="0"/>
      <w:marBottom w:val="0"/>
      <w:divBdr>
        <w:top w:val="none" w:sz="0" w:space="0" w:color="auto"/>
        <w:left w:val="none" w:sz="0" w:space="0" w:color="auto"/>
        <w:bottom w:val="none" w:sz="0" w:space="0" w:color="auto"/>
        <w:right w:val="none" w:sz="0" w:space="0" w:color="auto"/>
      </w:divBdr>
    </w:div>
    <w:div w:id="1463841976">
      <w:bodyDiv w:val="1"/>
      <w:marLeft w:val="0"/>
      <w:marRight w:val="0"/>
      <w:marTop w:val="0"/>
      <w:marBottom w:val="0"/>
      <w:divBdr>
        <w:top w:val="none" w:sz="0" w:space="0" w:color="auto"/>
        <w:left w:val="none" w:sz="0" w:space="0" w:color="auto"/>
        <w:bottom w:val="none" w:sz="0" w:space="0" w:color="auto"/>
        <w:right w:val="none" w:sz="0" w:space="0" w:color="auto"/>
      </w:divBdr>
      <w:divsChild>
        <w:div w:id="1780224253">
          <w:marLeft w:val="0"/>
          <w:marRight w:val="0"/>
          <w:marTop w:val="100"/>
          <w:marBottom w:val="100"/>
          <w:divBdr>
            <w:top w:val="none" w:sz="0" w:space="0" w:color="auto"/>
            <w:left w:val="none" w:sz="0" w:space="0" w:color="auto"/>
            <w:bottom w:val="none" w:sz="0" w:space="0" w:color="auto"/>
            <w:right w:val="none" w:sz="0" w:space="0" w:color="auto"/>
          </w:divBdr>
          <w:divsChild>
            <w:div w:id="283076394">
              <w:marLeft w:val="0"/>
              <w:marRight w:val="0"/>
              <w:marTop w:val="0"/>
              <w:marBottom w:val="0"/>
              <w:divBdr>
                <w:top w:val="none" w:sz="0" w:space="0" w:color="auto"/>
                <w:left w:val="none" w:sz="0" w:space="0" w:color="auto"/>
                <w:bottom w:val="none" w:sz="0" w:space="0" w:color="auto"/>
                <w:right w:val="none" w:sz="0" w:space="0" w:color="auto"/>
              </w:divBdr>
              <w:divsChild>
                <w:div w:id="321858864">
                  <w:marLeft w:val="0"/>
                  <w:marRight w:val="0"/>
                  <w:marTop w:val="0"/>
                  <w:marBottom w:val="0"/>
                  <w:divBdr>
                    <w:top w:val="none" w:sz="0" w:space="0" w:color="auto"/>
                    <w:left w:val="none" w:sz="0" w:space="0" w:color="auto"/>
                    <w:bottom w:val="none" w:sz="0" w:space="0" w:color="auto"/>
                    <w:right w:val="none" w:sz="0" w:space="0" w:color="auto"/>
                  </w:divBdr>
                  <w:divsChild>
                    <w:div w:id="51318842">
                      <w:marLeft w:val="0"/>
                      <w:marRight w:val="0"/>
                      <w:marTop w:val="0"/>
                      <w:marBottom w:val="225"/>
                      <w:divBdr>
                        <w:top w:val="single" w:sz="6" w:space="21" w:color="EDF2F7"/>
                        <w:left w:val="single" w:sz="6" w:space="11" w:color="EDF2F7"/>
                        <w:bottom w:val="single" w:sz="6" w:space="11" w:color="EDF2F7"/>
                        <w:right w:val="single" w:sz="6" w:space="11" w:color="EDF2F7"/>
                      </w:divBdr>
                      <w:divsChild>
                        <w:div w:id="937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622288">
      <w:bodyDiv w:val="1"/>
      <w:marLeft w:val="0"/>
      <w:marRight w:val="0"/>
      <w:marTop w:val="0"/>
      <w:marBottom w:val="0"/>
      <w:divBdr>
        <w:top w:val="none" w:sz="0" w:space="0" w:color="auto"/>
        <w:left w:val="none" w:sz="0" w:space="0" w:color="auto"/>
        <w:bottom w:val="none" w:sz="0" w:space="0" w:color="auto"/>
        <w:right w:val="none" w:sz="0" w:space="0" w:color="auto"/>
      </w:divBdr>
    </w:div>
    <w:div w:id="1578591533">
      <w:bodyDiv w:val="1"/>
      <w:marLeft w:val="0"/>
      <w:marRight w:val="0"/>
      <w:marTop w:val="0"/>
      <w:marBottom w:val="0"/>
      <w:divBdr>
        <w:top w:val="none" w:sz="0" w:space="0" w:color="auto"/>
        <w:left w:val="none" w:sz="0" w:space="0" w:color="auto"/>
        <w:bottom w:val="none" w:sz="0" w:space="0" w:color="auto"/>
        <w:right w:val="none" w:sz="0" w:space="0" w:color="auto"/>
      </w:divBdr>
    </w:div>
    <w:div w:id="1590307729">
      <w:bodyDiv w:val="1"/>
      <w:marLeft w:val="0"/>
      <w:marRight w:val="0"/>
      <w:marTop w:val="0"/>
      <w:marBottom w:val="0"/>
      <w:divBdr>
        <w:top w:val="none" w:sz="0" w:space="0" w:color="auto"/>
        <w:left w:val="none" w:sz="0" w:space="0" w:color="auto"/>
        <w:bottom w:val="none" w:sz="0" w:space="0" w:color="auto"/>
        <w:right w:val="none" w:sz="0" w:space="0" w:color="auto"/>
      </w:divBdr>
    </w:div>
    <w:div w:id="1692991913">
      <w:bodyDiv w:val="1"/>
      <w:marLeft w:val="0"/>
      <w:marRight w:val="0"/>
      <w:marTop w:val="0"/>
      <w:marBottom w:val="0"/>
      <w:divBdr>
        <w:top w:val="none" w:sz="0" w:space="0" w:color="auto"/>
        <w:left w:val="none" w:sz="0" w:space="0" w:color="auto"/>
        <w:bottom w:val="none" w:sz="0" w:space="0" w:color="auto"/>
        <w:right w:val="none" w:sz="0" w:space="0" w:color="auto"/>
      </w:divBdr>
      <w:divsChild>
        <w:div w:id="1816409758">
          <w:marLeft w:val="0"/>
          <w:marRight w:val="0"/>
          <w:marTop w:val="100"/>
          <w:marBottom w:val="100"/>
          <w:divBdr>
            <w:top w:val="none" w:sz="0" w:space="0" w:color="auto"/>
            <w:left w:val="none" w:sz="0" w:space="0" w:color="auto"/>
            <w:bottom w:val="none" w:sz="0" w:space="0" w:color="auto"/>
            <w:right w:val="none" w:sz="0" w:space="0" w:color="auto"/>
          </w:divBdr>
          <w:divsChild>
            <w:div w:id="556018887">
              <w:marLeft w:val="0"/>
              <w:marRight w:val="0"/>
              <w:marTop w:val="0"/>
              <w:marBottom w:val="0"/>
              <w:divBdr>
                <w:top w:val="none" w:sz="0" w:space="0" w:color="auto"/>
                <w:left w:val="none" w:sz="0" w:space="0" w:color="auto"/>
                <w:bottom w:val="none" w:sz="0" w:space="0" w:color="auto"/>
                <w:right w:val="none" w:sz="0" w:space="0" w:color="auto"/>
              </w:divBdr>
              <w:divsChild>
                <w:div w:id="424083483">
                  <w:marLeft w:val="0"/>
                  <w:marRight w:val="0"/>
                  <w:marTop w:val="0"/>
                  <w:marBottom w:val="0"/>
                  <w:divBdr>
                    <w:top w:val="none" w:sz="0" w:space="0" w:color="auto"/>
                    <w:left w:val="none" w:sz="0" w:space="0" w:color="auto"/>
                    <w:bottom w:val="none" w:sz="0" w:space="0" w:color="auto"/>
                    <w:right w:val="none" w:sz="0" w:space="0" w:color="auto"/>
                  </w:divBdr>
                  <w:divsChild>
                    <w:div w:id="288556243">
                      <w:marLeft w:val="0"/>
                      <w:marRight w:val="0"/>
                      <w:marTop w:val="0"/>
                      <w:marBottom w:val="225"/>
                      <w:divBdr>
                        <w:top w:val="single" w:sz="6" w:space="21" w:color="EDF2F7"/>
                        <w:left w:val="single" w:sz="6" w:space="11" w:color="EDF2F7"/>
                        <w:bottom w:val="single" w:sz="6" w:space="11" w:color="EDF2F7"/>
                        <w:right w:val="single" w:sz="6" w:space="11" w:color="EDF2F7"/>
                      </w:divBdr>
                      <w:divsChild>
                        <w:div w:id="20252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94263">
      <w:bodyDiv w:val="1"/>
      <w:marLeft w:val="0"/>
      <w:marRight w:val="0"/>
      <w:marTop w:val="0"/>
      <w:marBottom w:val="0"/>
      <w:divBdr>
        <w:top w:val="none" w:sz="0" w:space="0" w:color="auto"/>
        <w:left w:val="none" w:sz="0" w:space="0" w:color="auto"/>
        <w:bottom w:val="none" w:sz="0" w:space="0" w:color="auto"/>
        <w:right w:val="none" w:sz="0" w:space="0" w:color="auto"/>
      </w:divBdr>
    </w:div>
    <w:div w:id="1923371107">
      <w:bodyDiv w:val="1"/>
      <w:marLeft w:val="0"/>
      <w:marRight w:val="0"/>
      <w:marTop w:val="0"/>
      <w:marBottom w:val="0"/>
      <w:divBdr>
        <w:top w:val="none" w:sz="0" w:space="0" w:color="auto"/>
        <w:left w:val="none" w:sz="0" w:space="0" w:color="auto"/>
        <w:bottom w:val="none" w:sz="0" w:space="0" w:color="auto"/>
        <w:right w:val="none" w:sz="0" w:space="0" w:color="auto"/>
      </w:divBdr>
    </w:div>
    <w:div w:id="1938827723">
      <w:bodyDiv w:val="1"/>
      <w:marLeft w:val="0"/>
      <w:marRight w:val="0"/>
      <w:marTop w:val="0"/>
      <w:marBottom w:val="0"/>
      <w:divBdr>
        <w:top w:val="none" w:sz="0" w:space="0" w:color="auto"/>
        <w:left w:val="none" w:sz="0" w:space="0" w:color="auto"/>
        <w:bottom w:val="none" w:sz="0" w:space="0" w:color="auto"/>
        <w:right w:val="none" w:sz="0" w:space="0" w:color="auto"/>
      </w:divBdr>
    </w:div>
    <w:div w:id="1940409148">
      <w:bodyDiv w:val="1"/>
      <w:marLeft w:val="0"/>
      <w:marRight w:val="0"/>
      <w:marTop w:val="0"/>
      <w:marBottom w:val="0"/>
      <w:divBdr>
        <w:top w:val="none" w:sz="0" w:space="0" w:color="auto"/>
        <w:left w:val="none" w:sz="0" w:space="0" w:color="auto"/>
        <w:bottom w:val="none" w:sz="0" w:space="0" w:color="auto"/>
        <w:right w:val="none" w:sz="0" w:space="0" w:color="auto"/>
      </w:divBdr>
      <w:divsChild>
        <w:div w:id="371345352">
          <w:marLeft w:val="0"/>
          <w:marRight w:val="0"/>
          <w:marTop w:val="100"/>
          <w:marBottom w:val="100"/>
          <w:divBdr>
            <w:top w:val="none" w:sz="0" w:space="0" w:color="auto"/>
            <w:left w:val="none" w:sz="0" w:space="0" w:color="auto"/>
            <w:bottom w:val="none" w:sz="0" w:space="0" w:color="auto"/>
            <w:right w:val="none" w:sz="0" w:space="0" w:color="auto"/>
          </w:divBdr>
          <w:divsChild>
            <w:div w:id="2039744530">
              <w:marLeft w:val="0"/>
              <w:marRight w:val="0"/>
              <w:marTop w:val="0"/>
              <w:marBottom w:val="0"/>
              <w:divBdr>
                <w:top w:val="none" w:sz="0" w:space="0" w:color="auto"/>
                <w:left w:val="none" w:sz="0" w:space="0" w:color="auto"/>
                <w:bottom w:val="none" w:sz="0" w:space="0" w:color="auto"/>
                <w:right w:val="none" w:sz="0" w:space="0" w:color="auto"/>
              </w:divBdr>
              <w:divsChild>
                <w:div w:id="314837890">
                  <w:marLeft w:val="0"/>
                  <w:marRight w:val="0"/>
                  <w:marTop w:val="0"/>
                  <w:marBottom w:val="0"/>
                  <w:divBdr>
                    <w:top w:val="none" w:sz="0" w:space="0" w:color="auto"/>
                    <w:left w:val="none" w:sz="0" w:space="0" w:color="auto"/>
                    <w:bottom w:val="none" w:sz="0" w:space="0" w:color="auto"/>
                    <w:right w:val="none" w:sz="0" w:space="0" w:color="auto"/>
                  </w:divBdr>
                  <w:divsChild>
                    <w:div w:id="153224770">
                      <w:marLeft w:val="0"/>
                      <w:marRight w:val="0"/>
                      <w:marTop w:val="0"/>
                      <w:marBottom w:val="225"/>
                      <w:divBdr>
                        <w:top w:val="single" w:sz="6" w:space="21" w:color="EDF2F7"/>
                        <w:left w:val="single" w:sz="6" w:space="11" w:color="EDF2F7"/>
                        <w:bottom w:val="single" w:sz="6" w:space="11" w:color="EDF2F7"/>
                        <w:right w:val="single" w:sz="6" w:space="11" w:color="EDF2F7"/>
                      </w:divBdr>
                      <w:divsChild>
                        <w:div w:id="12585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26649">
      <w:bodyDiv w:val="1"/>
      <w:marLeft w:val="0"/>
      <w:marRight w:val="0"/>
      <w:marTop w:val="0"/>
      <w:marBottom w:val="0"/>
      <w:divBdr>
        <w:top w:val="none" w:sz="0" w:space="0" w:color="auto"/>
        <w:left w:val="none" w:sz="0" w:space="0" w:color="auto"/>
        <w:bottom w:val="none" w:sz="0" w:space="0" w:color="auto"/>
        <w:right w:val="none" w:sz="0" w:space="0" w:color="auto"/>
      </w:divBdr>
    </w:div>
    <w:div w:id="2069256644">
      <w:bodyDiv w:val="1"/>
      <w:marLeft w:val="0"/>
      <w:marRight w:val="0"/>
      <w:marTop w:val="0"/>
      <w:marBottom w:val="0"/>
      <w:divBdr>
        <w:top w:val="none" w:sz="0" w:space="0" w:color="auto"/>
        <w:left w:val="none" w:sz="0" w:space="0" w:color="auto"/>
        <w:bottom w:val="none" w:sz="0" w:space="0" w:color="auto"/>
        <w:right w:val="none" w:sz="0" w:space="0" w:color="auto"/>
      </w:divBdr>
    </w:div>
    <w:div w:id="21075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lga.chadzenska@gpw.pl" TargetMode="External"/><Relationship Id="rId2" Type="http://schemas.openxmlformats.org/officeDocument/2006/relationships/hyperlink" Target="mailto:anna.wisniewska@gpw.pl" TargetMode="External"/><Relationship Id="rId1" Type="http://schemas.openxmlformats.org/officeDocument/2006/relationships/hyperlink" Target="mailto:press@gpw.pl" TargetMode="External"/><Relationship Id="rId4" Type="http://schemas.openxmlformats.org/officeDocument/2006/relationships/hyperlink" Target="mailto:martyna.makiel@gpw.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olga.chadzenska@gpw.pl" TargetMode="External"/><Relationship Id="rId2" Type="http://schemas.openxmlformats.org/officeDocument/2006/relationships/hyperlink" Target="mailto:anna.wisniewska@gpw.pl" TargetMode="External"/><Relationship Id="rId1" Type="http://schemas.openxmlformats.org/officeDocument/2006/relationships/hyperlink" Target="mailto:press@gpw.pl" TargetMode="External"/><Relationship Id="rId4" Type="http://schemas.openxmlformats.org/officeDocument/2006/relationships/hyperlink" Target="mailto:martyna.makiel@gp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aroslaw.przybyl.GPW\Pulpit\GPW%20Derywaty%20por&#243;wnanie\Marzec%202013\Wykres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aroslaw.przybyl.GPW\Pulpit\GPW%20Derywaty%20por&#243;wnanie\Marzec%202013\Wykres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cat>
            <c:strRef>
              <c:f>Arkusz2!$K$33:$Z$33</c:f>
              <c:strCach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 I-III</c:v>
                </c:pt>
              </c:strCache>
            </c:strRef>
          </c:cat>
          <c:val>
            <c:numRef>
              <c:f>Arkusz2!$K$34:$Z$34</c:f>
              <c:numCache>
                <c:formatCode>#,##0.00</c:formatCode>
                <c:ptCount val="16"/>
                <c:pt idx="0">
                  <c:v>2.4367999999999997E-2</c:v>
                </c:pt>
                <c:pt idx="1">
                  <c:v>0.20810100000000001</c:v>
                </c:pt>
                <c:pt idx="2">
                  <c:v>1.5160419999999999</c:v>
                </c:pt>
                <c:pt idx="3">
                  <c:v>3.7771970000000032</c:v>
                </c:pt>
                <c:pt idx="4">
                  <c:v>3.420909</c:v>
                </c:pt>
                <c:pt idx="5">
                  <c:v>4.385054999999995</c:v>
                </c:pt>
                <c:pt idx="6">
                  <c:v>3.7335170000000026</c:v>
                </c:pt>
                <c:pt idx="7">
                  <c:v>5.651529</c:v>
                </c:pt>
                <c:pt idx="8">
                  <c:v>6.7321390000000001</c:v>
                </c:pt>
                <c:pt idx="9">
                  <c:v>9.8993120000000001</c:v>
                </c:pt>
                <c:pt idx="10">
                  <c:v>12.596845</c:v>
                </c:pt>
                <c:pt idx="11">
                  <c:v>13.888402000000006</c:v>
                </c:pt>
                <c:pt idx="12">
                  <c:v>14.72</c:v>
                </c:pt>
                <c:pt idx="13">
                  <c:v>15.56</c:v>
                </c:pt>
                <c:pt idx="14">
                  <c:v>11.34</c:v>
                </c:pt>
                <c:pt idx="15">
                  <c:v>3.17</c:v>
                </c:pt>
              </c:numCache>
            </c:numRef>
          </c:val>
        </c:ser>
        <c:dLbls>
          <c:showLegendKey val="0"/>
          <c:showVal val="1"/>
          <c:showCatName val="0"/>
          <c:showSerName val="0"/>
          <c:showPercent val="0"/>
          <c:showBubbleSize val="0"/>
        </c:dLbls>
        <c:gapWidth val="75"/>
        <c:axId val="124419456"/>
        <c:axId val="132310144"/>
      </c:barChart>
      <c:catAx>
        <c:axId val="124419456"/>
        <c:scaling>
          <c:orientation val="minMax"/>
        </c:scaling>
        <c:delete val="0"/>
        <c:axPos val="b"/>
        <c:numFmt formatCode="General" sourceLinked="1"/>
        <c:majorTickMark val="none"/>
        <c:minorTickMark val="none"/>
        <c:tickLblPos val="nextTo"/>
        <c:txPr>
          <a:bodyPr rot="0" vert="horz"/>
          <a:lstStyle/>
          <a:p>
            <a:pPr>
              <a:defRPr/>
            </a:pPr>
            <a:endParaRPr lang="en-US"/>
          </a:p>
        </c:txPr>
        <c:crossAx val="132310144"/>
        <c:crosses val="autoZero"/>
        <c:auto val="1"/>
        <c:lblAlgn val="ctr"/>
        <c:lblOffset val="100"/>
        <c:noMultiLvlLbl val="0"/>
      </c:catAx>
      <c:valAx>
        <c:axId val="132310144"/>
        <c:scaling>
          <c:orientation val="minMax"/>
        </c:scaling>
        <c:delete val="1"/>
        <c:axPos val="l"/>
        <c:numFmt formatCode="#,##0.00" sourceLinked="1"/>
        <c:majorTickMark val="out"/>
        <c:minorTickMark val="none"/>
        <c:tickLblPos val="none"/>
        <c:crossAx val="1244194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lineChart>
        <c:grouping val="standard"/>
        <c:varyColors val="0"/>
        <c:ser>
          <c:idx val="0"/>
          <c:order val="0"/>
          <c:dLbls>
            <c:dLblPos val="t"/>
            <c:showLegendKey val="0"/>
            <c:showVal val="1"/>
            <c:showCatName val="0"/>
            <c:showSerName val="0"/>
            <c:showPercent val="0"/>
            <c:showBubbleSize val="0"/>
            <c:showLeaderLines val="0"/>
          </c:dLbls>
          <c:cat>
            <c:strRef>
              <c:f>Arkusz2!$R$3:$R$18</c:f>
              <c:strCach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 MAR</c:v>
                </c:pt>
              </c:strCache>
            </c:strRef>
          </c:cat>
          <c:val>
            <c:numRef>
              <c:f>Arkusz2!$S$3:$S$18</c:f>
              <c:numCache>
                <c:formatCode>#,##0.0</c:formatCode>
                <c:ptCount val="16"/>
                <c:pt idx="0">
                  <c:v>0.69899999999999995</c:v>
                </c:pt>
                <c:pt idx="1">
                  <c:v>5.3599999999999985</c:v>
                </c:pt>
                <c:pt idx="2">
                  <c:v>11.952000000000011</c:v>
                </c:pt>
                <c:pt idx="3">
                  <c:v>17.161000000000001</c:v>
                </c:pt>
                <c:pt idx="4">
                  <c:v>47.149000000000001</c:v>
                </c:pt>
                <c:pt idx="5">
                  <c:v>43.718000000000011</c:v>
                </c:pt>
                <c:pt idx="6">
                  <c:v>46.026000000000003</c:v>
                </c:pt>
                <c:pt idx="7">
                  <c:v>46.954999999999998</c:v>
                </c:pt>
                <c:pt idx="8">
                  <c:v>84.986000000000004</c:v>
                </c:pt>
                <c:pt idx="9">
                  <c:v>70.709999999999994</c:v>
                </c:pt>
                <c:pt idx="10">
                  <c:v>89.222999999999999</c:v>
                </c:pt>
                <c:pt idx="11">
                  <c:v>144.17399999999998</c:v>
                </c:pt>
                <c:pt idx="12">
                  <c:v>181.36800000000017</c:v>
                </c:pt>
                <c:pt idx="13">
                  <c:v>145.17699999999999</c:v>
                </c:pt>
                <c:pt idx="14">
                  <c:v>147.9</c:v>
                </c:pt>
                <c:pt idx="15">
                  <c:v>211.7</c:v>
                </c:pt>
              </c:numCache>
            </c:numRef>
          </c:val>
          <c:smooth val="0"/>
        </c:ser>
        <c:dLbls>
          <c:showLegendKey val="0"/>
          <c:showVal val="1"/>
          <c:showCatName val="0"/>
          <c:showSerName val="0"/>
          <c:showPercent val="0"/>
          <c:showBubbleSize val="0"/>
        </c:dLbls>
        <c:marker val="1"/>
        <c:smooth val="0"/>
        <c:axId val="132316544"/>
        <c:axId val="132188416"/>
      </c:lineChart>
      <c:catAx>
        <c:axId val="132316544"/>
        <c:scaling>
          <c:orientation val="minMax"/>
        </c:scaling>
        <c:delete val="0"/>
        <c:axPos val="b"/>
        <c:numFmt formatCode="General" sourceLinked="1"/>
        <c:majorTickMark val="none"/>
        <c:minorTickMark val="none"/>
        <c:tickLblPos val="nextTo"/>
        <c:txPr>
          <a:bodyPr rot="0" vert="horz"/>
          <a:lstStyle/>
          <a:p>
            <a:pPr>
              <a:defRPr/>
            </a:pPr>
            <a:endParaRPr lang="en-US"/>
          </a:p>
        </c:txPr>
        <c:crossAx val="132188416"/>
        <c:crosses val="autoZero"/>
        <c:auto val="1"/>
        <c:lblAlgn val="ctr"/>
        <c:lblOffset val="100"/>
        <c:noMultiLvlLbl val="0"/>
      </c:catAx>
      <c:valAx>
        <c:axId val="132188416"/>
        <c:scaling>
          <c:orientation val="minMax"/>
        </c:scaling>
        <c:delete val="1"/>
        <c:axPos val="l"/>
        <c:numFmt formatCode="#,##0.0" sourceLinked="1"/>
        <c:majorTickMark val="out"/>
        <c:minorTickMark val="none"/>
        <c:tickLblPos val="none"/>
        <c:crossAx val="1323165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6BC8-9B92-4D4F-A19E-D392CD45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Racibórz, dn</vt:lpstr>
      <vt:lpstr>Racibórz, dn</vt:lpstr>
    </vt:vector>
  </TitlesOfParts>
  <Company>TOSHIBA</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Racibórz, dn</dc:title>
  <dc:creator>OEM</dc:creator>
  <cp:lastModifiedBy>Marina Bellin</cp:lastModifiedBy>
  <cp:revision>2</cp:revision>
  <cp:lastPrinted>2013-03-04T10:52:00Z</cp:lastPrinted>
  <dcterms:created xsi:type="dcterms:W3CDTF">2013-04-04T09:26:00Z</dcterms:created>
  <dcterms:modified xsi:type="dcterms:W3CDTF">2013-04-04T09:26:00Z</dcterms:modified>
</cp:coreProperties>
</file>