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5FA" w:rsidRPr="00D054D7" w:rsidRDefault="009005FA" w:rsidP="009005FA">
      <w:pPr>
        <w:spacing w:after="0" w:line="240" w:lineRule="auto"/>
        <w:jc w:val="right"/>
        <w:rPr>
          <w:rFonts w:ascii="Verdana" w:eastAsiaTheme="minorHAnsi" w:hAnsi="Verdana"/>
          <w:sz w:val="20"/>
          <w:szCs w:val="20"/>
          <w:lang w:val="en-GB" w:eastAsia="pl-PL"/>
        </w:rPr>
      </w:pPr>
      <w:r w:rsidRPr="00D054D7">
        <w:rPr>
          <w:rFonts w:ascii="Verdana" w:eastAsiaTheme="minorHAnsi" w:hAnsi="Verdana"/>
          <w:sz w:val="20"/>
          <w:szCs w:val="20"/>
          <w:lang w:val="en-GB" w:eastAsia="pl-PL"/>
        </w:rPr>
        <w:t>Warsaw, 1</w:t>
      </w:r>
      <w:r w:rsidR="00D533B8">
        <w:rPr>
          <w:rFonts w:ascii="Verdana" w:eastAsiaTheme="minorHAnsi" w:hAnsi="Verdana"/>
          <w:sz w:val="20"/>
          <w:szCs w:val="20"/>
          <w:lang w:val="en-GB" w:eastAsia="pl-PL"/>
        </w:rPr>
        <w:t>2</w:t>
      </w:r>
      <w:r w:rsidRPr="00D054D7">
        <w:rPr>
          <w:rFonts w:ascii="Verdana" w:eastAsiaTheme="minorHAnsi" w:hAnsi="Verdana"/>
          <w:sz w:val="20"/>
          <w:szCs w:val="20"/>
          <w:lang w:val="en-GB" w:eastAsia="pl-PL"/>
        </w:rPr>
        <w:t xml:space="preserve"> July 2012 </w:t>
      </w:r>
    </w:p>
    <w:p w:rsidR="009005FA" w:rsidRPr="00D054D7" w:rsidRDefault="009005FA" w:rsidP="009005FA">
      <w:pPr>
        <w:spacing w:after="0" w:line="240" w:lineRule="auto"/>
        <w:rPr>
          <w:rFonts w:ascii="Verdana" w:hAnsi="Verdana" w:cs="Tahoma"/>
          <w:b/>
          <w:bCs/>
          <w:sz w:val="28"/>
          <w:szCs w:val="28"/>
          <w:lang w:val="en-GB"/>
        </w:rPr>
      </w:pPr>
    </w:p>
    <w:p w:rsidR="009005FA" w:rsidRPr="00D054D7" w:rsidRDefault="009005FA" w:rsidP="009005FA">
      <w:pPr>
        <w:spacing w:after="0" w:line="240" w:lineRule="auto"/>
        <w:jc w:val="center"/>
        <w:rPr>
          <w:rFonts w:ascii="Verdana" w:hAnsi="Verdana" w:cs="Tahoma"/>
          <w:b/>
          <w:bCs/>
          <w:sz w:val="28"/>
          <w:szCs w:val="28"/>
          <w:lang w:val="en-GB"/>
        </w:rPr>
      </w:pPr>
      <w:r w:rsidRPr="00D054D7">
        <w:rPr>
          <w:rFonts w:ascii="Verdana" w:hAnsi="Verdana" w:cs="Tahoma"/>
          <w:b/>
          <w:bCs/>
          <w:sz w:val="28"/>
          <w:szCs w:val="28"/>
          <w:lang w:val="en-GB"/>
        </w:rPr>
        <w:t xml:space="preserve">400 Companies Listed on </w:t>
      </w:r>
      <w:proofErr w:type="spellStart"/>
      <w:r w:rsidRPr="00D054D7">
        <w:rPr>
          <w:rFonts w:ascii="Verdana" w:hAnsi="Verdana" w:cs="Tahoma"/>
          <w:b/>
          <w:bCs/>
          <w:sz w:val="28"/>
          <w:szCs w:val="28"/>
          <w:lang w:val="en-GB"/>
        </w:rPr>
        <w:t>NewConnect</w:t>
      </w:r>
      <w:proofErr w:type="spellEnd"/>
    </w:p>
    <w:p w:rsidR="009005FA" w:rsidRPr="00D054D7" w:rsidRDefault="009005FA" w:rsidP="009005FA">
      <w:pPr>
        <w:spacing w:after="0" w:line="240" w:lineRule="auto"/>
        <w:jc w:val="center"/>
        <w:rPr>
          <w:rFonts w:ascii="Verdana" w:hAnsi="Verdana" w:cs="Tahoma"/>
          <w:b/>
          <w:bCs/>
          <w:sz w:val="28"/>
          <w:szCs w:val="28"/>
          <w:lang w:val="en-GB"/>
        </w:rPr>
      </w:pPr>
    </w:p>
    <w:p w:rsidR="009005FA" w:rsidRPr="00D054D7" w:rsidRDefault="009005FA" w:rsidP="009005FA">
      <w:pPr>
        <w:spacing w:after="0" w:line="240" w:lineRule="auto"/>
        <w:jc w:val="center"/>
        <w:rPr>
          <w:rFonts w:ascii="Verdana" w:eastAsiaTheme="minorHAnsi" w:hAnsi="Verdana"/>
          <w:i/>
          <w:sz w:val="20"/>
          <w:szCs w:val="20"/>
          <w:lang w:val="en-GB" w:eastAsia="pl-PL"/>
        </w:rPr>
      </w:pPr>
      <w:r w:rsidRPr="00D054D7">
        <w:rPr>
          <w:rFonts w:ascii="Verdana" w:eastAsiaTheme="minorHAnsi" w:hAnsi="Verdana"/>
          <w:i/>
          <w:sz w:val="20"/>
          <w:szCs w:val="20"/>
          <w:lang w:val="en-GB" w:eastAsia="pl-PL"/>
        </w:rPr>
        <w:t>Press Release</w:t>
      </w:r>
    </w:p>
    <w:p w:rsidR="009005FA" w:rsidRPr="00D054D7" w:rsidRDefault="009005FA" w:rsidP="009005FA">
      <w:pPr>
        <w:spacing w:after="0" w:line="240" w:lineRule="auto"/>
        <w:jc w:val="center"/>
        <w:rPr>
          <w:rFonts w:ascii="Verdana" w:hAnsi="Verdana" w:cs="Tahoma"/>
          <w:b/>
          <w:bCs/>
          <w:sz w:val="28"/>
          <w:szCs w:val="28"/>
          <w:lang w:val="en-GB"/>
        </w:rPr>
      </w:pPr>
    </w:p>
    <w:p w:rsidR="009005FA" w:rsidRPr="00D054D7" w:rsidRDefault="009005FA" w:rsidP="009005FA">
      <w:pPr>
        <w:pStyle w:val="Akapitzlist"/>
        <w:numPr>
          <w:ilvl w:val="0"/>
          <w:numId w:val="3"/>
        </w:numPr>
        <w:spacing w:after="150" w:line="240" w:lineRule="atLeast"/>
        <w:ind w:left="720"/>
        <w:jc w:val="both"/>
        <w:rPr>
          <w:rFonts w:ascii="Verdana" w:eastAsiaTheme="minorHAnsi" w:hAnsi="Verdana"/>
          <w:b/>
          <w:sz w:val="20"/>
          <w:lang w:val="en-GB"/>
        </w:rPr>
      </w:pPr>
      <w:r w:rsidRPr="00D054D7">
        <w:rPr>
          <w:rFonts w:ascii="Verdana" w:eastAsiaTheme="minorHAnsi" w:hAnsi="Verdana"/>
          <w:b/>
          <w:sz w:val="20"/>
          <w:lang w:val="en-GB"/>
        </w:rPr>
        <w:t>Elemental Holding</w:t>
      </w:r>
      <w:r w:rsidR="00D533B8">
        <w:rPr>
          <w:rFonts w:ascii="Verdana" w:eastAsiaTheme="minorHAnsi" w:hAnsi="Verdana"/>
          <w:b/>
          <w:sz w:val="20"/>
          <w:lang w:val="en-GB"/>
        </w:rPr>
        <w:t xml:space="preserve">, </w:t>
      </w:r>
      <w:r>
        <w:rPr>
          <w:rFonts w:ascii="Verdana" w:eastAsiaTheme="minorHAnsi" w:hAnsi="Verdana"/>
          <w:b/>
          <w:sz w:val="20"/>
          <w:lang w:val="en-GB"/>
        </w:rPr>
        <w:t>newly listed on the WSE’s alt</w:t>
      </w:r>
      <w:r w:rsidR="00D533B8">
        <w:rPr>
          <w:rFonts w:ascii="Verdana" w:eastAsiaTheme="minorHAnsi" w:hAnsi="Verdana"/>
          <w:b/>
          <w:sz w:val="20"/>
          <w:lang w:val="en-GB"/>
        </w:rPr>
        <w:t>ernative stock market</w:t>
      </w:r>
      <w:r>
        <w:rPr>
          <w:rFonts w:ascii="Verdana" w:eastAsiaTheme="minorHAnsi" w:hAnsi="Verdana"/>
          <w:b/>
          <w:sz w:val="20"/>
          <w:lang w:val="en-GB"/>
        </w:rPr>
        <w:t xml:space="preserve">, </w:t>
      </w:r>
      <w:r w:rsidR="00D533B8">
        <w:rPr>
          <w:rFonts w:ascii="Verdana" w:eastAsiaTheme="minorHAnsi" w:hAnsi="Verdana"/>
          <w:b/>
          <w:sz w:val="20"/>
          <w:lang w:val="en-GB"/>
        </w:rPr>
        <w:t>is the</w:t>
      </w:r>
      <w:r>
        <w:rPr>
          <w:rFonts w:ascii="Verdana" w:eastAsiaTheme="minorHAnsi" w:hAnsi="Verdana"/>
          <w:b/>
          <w:sz w:val="20"/>
          <w:lang w:val="en-GB"/>
        </w:rPr>
        <w:t xml:space="preserve"> 400</w:t>
      </w:r>
      <w:r w:rsidRPr="00032C9A">
        <w:rPr>
          <w:rFonts w:ascii="Verdana" w:eastAsiaTheme="minorHAnsi" w:hAnsi="Verdana"/>
          <w:b/>
          <w:sz w:val="20"/>
          <w:vertAlign w:val="superscript"/>
          <w:lang w:val="en-GB"/>
        </w:rPr>
        <w:t>th</w:t>
      </w:r>
      <w:r>
        <w:rPr>
          <w:rFonts w:ascii="Verdana" w:eastAsiaTheme="minorHAnsi" w:hAnsi="Verdana"/>
          <w:b/>
          <w:sz w:val="20"/>
          <w:lang w:val="en-GB"/>
        </w:rPr>
        <w:t xml:space="preserve"> issuer listed on </w:t>
      </w:r>
      <w:proofErr w:type="spellStart"/>
      <w:r>
        <w:rPr>
          <w:rFonts w:ascii="Verdana" w:eastAsiaTheme="minorHAnsi" w:hAnsi="Verdana"/>
          <w:b/>
          <w:sz w:val="20"/>
          <w:lang w:val="en-GB"/>
        </w:rPr>
        <w:t>NewConnect</w:t>
      </w:r>
      <w:proofErr w:type="spellEnd"/>
      <w:r>
        <w:rPr>
          <w:rFonts w:ascii="Verdana" w:eastAsiaTheme="minorHAnsi" w:hAnsi="Verdana"/>
          <w:b/>
          <w:sz w:val="20"/>
          <w:lang w:val="en-GB"/>
        </w:rPr>
        <w:t xml:space="preserve"> and the 421</w:t>
      </w:r>
      <w:r w:rsidRPr="00032C9A">
        <w:rPr>
          <w:rFonts w:ascii="Verdana" w:eastAsiaTheme="minorHAnsi" w:hAnsi="Verdana"/>
          <w:b/>
          <w:sz w:val="20"/>
          <w:vertAlign w:val="superscript"/>
          <w:lang w:val="en-GB"/>
        </w:rPr>
        <w:t>st</w:t>
      </w:r>
      <w:r>
        <w:rPr>
          <w:rFonts w:ascii="Verdana" w:eastAsiaTheme="minorHAnsi" w:hAnsi="Verdana"/>
          <w:b/>
          <w:sz w:val="20"/>
          <w:lang w:val="en-GB"/>
        </w:rPr>
        <w:t xml:space="preserve"> new listing on </w:t>
      </w:r>
      <w:proofErr w:type="spellStart"/>
      <w:r>
        <w:rPr>
          <w:rFonts w:ascii="Verdana" w:eastAsiaTheme="minorHAnsi" w:hAnsi="Verdana"/>
          <w:b/>
          <w:sz w:val="20"/>
          <w:lang w:val="en-GB"/>
        </w:rPr>
        <w:t>NewConnect</w:t>
      </w:r>
      <w:proofErr w:type="spellEnd"/>
      <w:r>
        <w:rPr>
          <w:rFonts w:ascii="Verdana" w:eastAsiaTheme="minorHAnsi" w:hAnsi="Verdana"/>
          <w:b/>
          <w:sz w:val="20"/>
          <w:lang w:val="en-GB"/>
        </w:rPr>
        <w:t>.</w:t>
      </w:r>
    </w:p>
    <w:p w:rsidR="009005FA" w:rsidRPr="00D054D7" w:rsidRDefault="009005FA" w:rsidP="009005FA">
      <w:pPr>
        <w:pStyle w:val="Akapitzlist"/>
        <w:spacing w:after="150" w:line="240" w:lineRule="atLeast"/>
        <w:jc w:val="both"/>
        <w:rPr>
          <w:rFonts w:ascii="Verdana" w:eastAsiaTheme="minorHAnsi" w:hAnsi="Verdana"/>
          <w:b/>
          <w:sz w:val="20"/>
          <w:lang w:val="en-GB"/>
        </w:rPr>
      </w:pPr>
    </w:p>
    <w:p w:rsidR="009005FA" w:rsidRPr="00D054D7" w:rsidRDefault="009005FA" w:rsidP="009005FA">
      <w:pPr>
        <w:pStyle w:val="Akapitzlist"/>
        <w:numPr>
          <w:ilvl w:val="0"/>
          <w:numId w:val="3"/>
        </w:numPr>
        <w:spacing w:after="150" w:line="240" w:lineRule="atLeast"/>
        <w:ind w:left="720"/>
        <w:jc w:val="both"/>
        <w:rPr>
          <w:rFonts w:ascii="Verdana" w:eastAsiaTheme="minorHAnsi" w:hAnsi="Verdana"/>
          <w:b/>
          <w:sz w:val="20"/>
          <w:lang w:val="en-GB"/>
        </w:rPr>
      </w:pPr>
      <w:r>
        <w:rPr>
          <w:rFonts w:ascii="Verdana" w:eastAsiaTheme="minorHAnsi" w:hAnsi="Verdana"/>
          <w:b/>
          <w:sz w:val="20"/>
          <w:lang w:val="en-GB"/>
        </w:rPr>
        <w:t>In Q2 2012, 28 companies chose the WSE’s alternative trading platform to raise growth capital, 7 more than in Q1 2012.</w:t>
      </w:r>
    </w:p>
    <w:p w:rsidR="009005FA" w:rsidRPr="00D054D7" w:rsidRDefault="009005FA" w:rsidP="009005FA">
      <w:pPr>
        <w:spacing w:after="0" w:line="240" w:lineRule="auto"/>
        <w:jc w:val="center"/>
        <w:rPr>
          <w:rFonts w:ascii="Verdana" w:eastAsiaTheme="minorHAnsi" w:hAnsi="Verdana"/>
          <w:b/>
          <w:sz w:val="20"/>
          <w:lang w:val="en-GB"/>
        </w:rPr>
      </w:pPr>
    </w:p>
    <w:p w:rsidR="009005FA" w:rsidRPr="00D054D7" w:rsidRDefault="009005FA" w:rsidP="009005FA">
      <w:pPr>
        <w:pStyle w:val="Tekstpodstawowy2"/>
        <w:spacing w:line="240" w:lineRule="auto"/>
        <w:rPr>
          <w:rFonts w:ascii="Verdana" w:eastAsiaTheme="minorHAnsi" w:hAnsi="Verdana"/>
          <w:sz w:val="20"/>
          <w:lang w:val="en-GB"/>
        </w:rPr>
      </w:pPr>
      <w:r w:rsidRPr="00D054D7">
        <w:rPr>
          <w:rFonts w:ascii="Verdana" w:eastAsiaTheme="minorHAnsi" w:hAnsi="Verdana"/>
          <w:sz w:val="20"/>
          <w:lang w:val="en-GB"/>
        </w:rPr>
        <w:t xml:space="preserve">Elemental Holding SA, </w:t>
      </w:r>
      <w:r>
        <w:rPr>
          <w:rFonts w:ascii="Verdana" w:eastAsiaTheme="minorHAnsi" w:hAnsi="Verdana"/>
          <w:sz w:val="20"/>
          <w:lang w:val="en-GB"/>
        </w:rPr>
        <w:t xml:space="preserve">a company </w:t>
      </w:r>
      <w:r w:rsidRPr="00D054D7">
        <w:rPr>
          <w:rFonts w:ascii="Verdana" w:eastAsiaTheme="minorHAnsi" w:hAnsi="Verdana"/>
          <w:sz w:val="20"/>
          <w:lang w:val="en-GB"/>
        </w:rPr>
        <w:t xml:space="preserve">which specialises in management of </w:t>
      </w:r>
      <w:r>
        <w:rPr>
          <w:rFonts w:ascii="Verdana" w:eastAsiaTheme="minorHAnsi" w:hAnsi="Verdana"/>
          <w:sz w:val="20"/>
          <w:lang w:val="en-GB"/>
        </w:rPr>
        <w:t>entities</w:t>
      </w:r>
      <w:r w:rsidRPr="00D054D7">
        <w:rPr>
          <w:rFonts w:ascii="Verdana" w:eastAsiaTheme="minorHAnsi" w:hAnsi="Verdana"/>
          <w:sz w:val="20"/>
          <w:lang w:val="en-GB"/>
        </w:rPr>
        <w:t xml:space="preserve"> in the sector of recycling and trade </w:t>
      </w:r>
      <w:r w:rsidR="00D533B8">
        <w:rPr>
          <w:rFonts w:ascii="Verdana" w:eastAsiaTheme="minorHAnsi" w:hAnsi="Verdana"/>
          <w:sz w:val="20"/>
          <w:lang w:val="en-GB"/>
        </w:rPr>
        <w:t>in recyclable materials, is</w:t>
      </w:r>
      <w:r w:rsidRPr="00D054D7">
        <w:rPr>
          <w:rFonts w:ascii="Verdana" w:eastAsiaTheme="minorHAnsi" w:hAnsi="Verdana"/>
          <w:sz w:val="20"/>
          <w:lang w:val="en-GB"/>
        </w:rPr>
        <w:t xml:space="preserve"> </w:t>
      </w:r>
      <w:r w:rsidR="000277ED">
        <w:rPr>
          <w:rFonts w:ascii="Verdana" w:eastAsiaTheme="minorHAnsi" w:hAnsi="Verdana"/>
          <w:sz w:val="20"/>
          <w:lang w:val="en-GB"/>
        </w:rPr>
        <w:t>a company</w:t>
      </w:r>
      <w:r w:rsidRPr="00D054D7">
        <w:rPr>
          <w:rFonts w:ascii="Verdana" w:eastAsiaTheme="minorHAnsi" w:hAnsi="Verdana"/>
          <w:sz w:val="20"/>
          <w:lang w:val="en-GB"/>
        </w:rPr>
        <w:t xml:space="preserve"> listed on </w:t>
      </w:r>
      <w:proofErr w:type="spellStart"/>
      <w:r w:rsidRPr="00D054D7">
        <w:rPr>
          <w:rFonts w:ascii="Verdana" w:eastAsiaTheme="minorHAnsi" w:hAnsi="Verdana"/>
          <w:sz w:val="20"/>
          <w:lang w:val="en-GB"/>
        </w:rPr>
        <w:t>NewConnect</w:t>
      </w:r>
      <w:proofErr w:type="spellEnd"/>
      <w:r w:rsidR="00D533B8">
        <w:rPr>
          <w:rFonts w:ascii="Verdana" w:eastAsiaTheme="minorHAnsi" w:hAnsi="Verdana"/>
          <w:sz w:val="20"/>
          <w:lang w:val="en-GB"/>
        </w:rPr>
        <w:t xml:space="preserve"> </w:t>
      </w:r>
      <w:r w:rsidR="000277ED">
        <w:rPr>
          <w:rFonts w:ascii="Verdana" w:eastAsiaTheme="minorHAnsi" w:hAnsi="Verdana"/>
          <w:sz w:val="20"/>
          <w:lang w:val="en-GB"/>
        </w:rPr>
        <w:t xml:space="preserve">from </w:t>
      </w:r>
      <w:r w:rsidR="00D533B8">
        <w:rPr>
          <w:rFonts w:ascii="Verdana" w:eastAsiaTheme="minorHAnsi" w:hAnsi="Verdana"/>
          <w:sz w:val="20"/>
          <w:lang w:val="en-GB"/>
        </w:rPr>
        <w:t>today. It is</w:t>
      </w:r>
      <w:r>
        <w:rPr>
          <w:rFonts w:ascii="Verdana" w:eastAsiaTheme="minorHAnsi" w:hAnsi="Verdana"/>
          <w:sz w:val="20"/>
          <w:lang w:val="en-GB"/>
        </w:rPr>
        <w:t xml:space="preserve"> the 400</w:t>
      </w:r>
      <w:r w:rsidRPr="00D054D7">
        <w:rPr>
          <w:rFonts w:ascii="Verdana" w:eastAsiaTheme="minorHAnsi" w:hAnsi="Verdana"/>
          <w:sz w:val="20"/>
          <w:vertAlign w:val="superscript"/>
          <w:lang w:val="en-GB"/>
        </w:rPr>
        <w:t>th</w:t>
      </w:r>
      <w:r>
        <w:rPr>
          <w:rFonts w:ascii="Verdana" w:eastAsiaTheme="minorHAnsi" w:hAnsi="Verdana"/>
          <w:sz w:val="20"/>
          <w:lang w:val="en-GB"/>
        </w:rPr>
        <w:t xml:space="preserve"> issuer listed on the alternative stock market and the 52</w:t>
      </w:r>
      <w:r w:rsidRPr="00D054D7">
        <w:rPr>
          <w:rFonts w:ascii="Verdana" w:eastAsiaTheme="minorHAnsi" w:hAnsi="Verdana"/>
          <w:sz w:val="20"/>
          <w:vertAlign w:val="superscript"/>
          <w:lang w:val="en-GB"/>
        </w:rPr>
        <w:t>nd</w:t>
      </w:r>
      <w:r w:rsidR="000277ED">
        <w:rPr>
          <w:rFonts w:ascii="Verdana" w:eastAsiaTheme="minorHAnsi" w:hAnsi="Verdana"/>
          <w:sz w:val="20"/>
          <w:lang w:val="en-GB"/>
        </w:rPr>
        <w:t xml:space="preserve"> debut</w:t>
      </w:r>
      <w:r>
        <w:rPr>
          <w:rFonts w:ascii="Verdana" w:eastAsiaTheme="minorHAnsi" w:hAnsi="Verdana"/>
          <w:sz w:val="20"/>
          <w:lang w:val="en-GB"/>
        </w:rPr>
        <w:t xml:space="preserve"> this year. The number of new listings on </w:t>
      </w:r>
      <w:proofErr w:type="spellStart"/>
      <w:r>
        <w:rPr>
          <w:rFonts w:ascii="Verdana" w:eastAsiaTheme="minorHAnsi" w:hAnsi="Verdana"/>
          <w:sz w:val="20"/>
          <w:lang w:val="en-GB"/>
        </w:rPr>
        <w:t>NewConnect</w:t>
      </w:r>
      <w:proofErr w:type="spellEnd"/>
      <w:r>
        <w:rPr>
          <w:rFonts w:ascii="Verdana" w:eastAsiaTheme="minorHAnsi" w:hAnsi="Verdana"/>
          <w:sz w:val="20"/>
          <w:lang w:val="en-GB"/>
        </w:rPr>
        <w:t xml:space="preserve"> crossed 400 already in May 2012 but due to market events, mainly including migrations to the WSE’s Main Market (17 companies), the </w:t>
      </w:r>
      <w:r w:rsidR="00D533B8">
        <w:rPr>
          <w:rFonts w:ascii="Verdana" w:eastAsiaTheme="minorHAnsi" w:hAnsi="Verdana"/>
          <w:sz w:val="20"/>
          <w:lang w:val="en-GB"/>
        </w:rPr>
        <w:t xml:space="preserve">number of listed companies </w:t>
      </w:r>
      <w:r>
        <w:rPr>
          <w:rFonts w:ascii="Verdana" w:eastAsiaTheme="minorHAnsi" w:hAnsi="Verdana"/>
          <w:sz w:val="20"/>
          <w:lang w:val="en-GB"/>
        </w:rPr>
        <w:t>reach</w:t>
      </w:r>
      <w:r w:rsidR="00D533B8">
        <w:rPr>
          <w:rFonts w:ascii="Verdana" w:eastAsiaTheme="minorHAnsi" w:hAnsi="Verdana"/>
          <w:sz w:val="20"/>
          <w:lang w:val="en-GB"/>
        </w:rPr>
        <w:t>ed</w:t>
      </w:r>
      <w:r>
        <w:rPr>
          <w:rFonts w:ascii="Verdana" w:eastAsiaTheme="minorHAnsi" w:hAnsi="Verdana"/>
          <w:sz w:val="20"/>
          <w:lang w:val="en-GB"/>
        </w:rPr>
        <w:t xml:space="preserve"> that mark </w:t>
      </w:r>
      <w:r w:rsidR="00D533B8">
        <w:rPr>
          <w:rFonts w:ascii="Verdana" w:eastAsiaTheme="minorHAnsi" w:hAnsi="Verdana"/>
          <w:sz w:val="20"/>
          <w:lang w:val="en-GB"/>
        </w:rPr>
        <w:t>today</w:t>
      </w:r>
      <w:r>
        <w:rPr>
          <w:rFonts w:ascii="Verdana" w:eastAsiaTheme="minorHAnsi" w:hAnsi="Verdana"/>
          <w:sz w:val="20"/>
          <w:lang w:val="en-GB"/>
        </w:rPr>
        <w:t>.</w:t>
      </w:r>
    </w:p>
    <w:p w:rsidR="009005FA" w:rsidRPr="00D054D7" w:rsidRDefault="009005FA" w:rsidP="009005FA">
      <w:pPr>
        <w:pStyle w:val="Tekstpodstawowy2"/>
        <w:spacing w:line="240" w:lineRule="auto"/>
        <w:rPr>
          <w:rFonts w:ascii="Verdana" w:eastAsiaTheme="minorHAnsi" w:hAnsi="Verdana"/>
          <w:sz w:val="20"/>
          <w:lang w:val="en-GB"/>
        </w:rPr>
      </w:pPr>
    </w:p>
    <w:p w:rsidR="009005FA" w:rsidRPr="00D054D7" w:rsidRDefault="00E54C5B" w:rsidP="009005FA">
      <w:pPr>
        <w:jc w:val="center"/>
        <w:rPr>
          <w:rFonts w:ascii="Verdana" w:hAnsi="Verdana"/>
          <w:color w:val="1F497D"/>
          <w:lang w:val="en-GB"/>
        </w:rPr>
      </w:pPr>
      <w:r w:rsidRPr="00E54C5B">
        <w:drawing>
          <wp:inline distT="0" distB="0" distL="0" distR="0">
            <wp:extent cx="4191000" cy="3305175"/>
            <wp:effectExtent l="19050" t="0" r="0" b="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7"/>
                    <a:srcRect/>
                    <a:stretch>
                      <a:fillRect/>
                    </a:stretch>
                  </pic:blipFill>
                  <pic:spPr bwMode="auto">
                    <a:xfrm>
                      <a:off x="0" y="0"/>
                      <a:ext cx="4191000" cy="3305175"/>
                    </a:xfrm>
                    <a:prstGeom prst="rect">
                      <a:avLst/>
                    </a:prstGeom>
                    <a:noFill/>
                    <a:ln w="9525">
                      <a:noFill/>
                      <a:miter lim="800000"/>
                      <a:headEnd/>
                      <a:tailEnd/>
                    </a:ln>
                  </pic:spPr>
                </pic:pic>
              </a:graphicData>
            </a:graphic>
          </wp:inline>
        </w:drawing>
      </w:r>
      <w:r w:rsidR="009005FA" w:rsidRPr="00D054D7">
        <w:rPr>
          <w:rFonts w:ascii="Verdana" w:hAnsi="Verdana"/>
          <w:color w:val="1F497D"/>
          <w:lang w:val="en-GB"/>
        </w:rPr>
        <w:t xml:space="preserve"> </w:t>
      </w:r>
    </w:p>
    <w:p w:rsidR="009005FA" w:rsidRPr="00D054D7" w:rsidRDefault="009005FA" w:rsidP="009005FA">
      <w:pPr>
        <w:rPr>
          <w:rFonts w:ascii="Verdana" w:hAnsi="Verdana"/>
          <w:color w:val="1F497D"/>
          <w:sz w:val="18"/>
          <w:szCs w:val="18"/>
          <w:lang w:val="en-GB"/>
        </w:rPr>
      </w:pPr>
      <w:r>
        <w:rPr>
          <w:rStyle w:val="Uwydatnienie"/>
          <w:rFonts w:ascii="Verdana" w:hAnsi="Verdana" w:cs="Arial"/>
          <w:color w:val="666666"/>
          <w:sz w:val="18"/>
          <w:szCs w:val="18"/>
          <w:lang w:val="en-GB"/>
        </w:rPr>
        <w:t>Source: WSE</w:t>
      </w:r>
    </w:p>
    <w:p w:rsidR="009005FA" w:rsidRPr="00D054D7" w:rsidRDefault="009005FA" w:rsidP="009005FA">
      <w:pPr>
        <w:pStyle w:val="Tekstpodstawowy2"/>
        <w:spacing w:line="240" w:lineRule="auto"/>
        <w:jc w:val="center"/>
        <w:rPr>
          <w:rFonts w:ascii="Verdana" w:eastAsiaTheme="minorHAnsi" w:hAnsi="Verdana"/>
          <w:sz w:val="20"/>
          <w:lang w:val="en-GB"/>
        </w:rPr>
      </w:pPr>
    </w:p>
    <w:p w:rsidR="009005FA" w:rsidRPr="00D054D7" w:rsidRDefault="009005FA" w:rsidP="009005FA">
      <w:pPr>
        <w:pStyle w:val="Tekstpodstawowy2"/>
        <w:spacing w:line="240" w:lineRule="auto"/>
        <w:rPr>
          <w:rFonts w:ascii="Verdana" w:eastAsiaTheme="minorHAnsi" w:hAnsi="Verdana"/>
          <w:sz w:val="20"/>
          <w:lang w:val="en-GB"/>
        </w:rPr>
      </w:pPr>
      <w:r>
        <w:rPr>
          <w:rFonts w:ascii="Verdana" w:eastAsiaTheme="minorHAnsi" w:hAnsi="Verdana"/>
          <w:sz w:val="20"/>
          <w:lang w:val="en-GB"/>
        </w:rPr>
        <w:t xml:space="preserve">According to the latest quarterly </w:t>
      </w:r>
      <w:r w:rsidRPr="00D054D7">
        <w:rPr>
          <w:rFonts w:ascii="Verdana" w:eastAsiaTheme="minorHAnsi" w:hAnsi="Verdana"/>
          <w:sz w:val="20"/>
          <w:lang w:val="en-GB"/>
        </w:rPr>
        <w:t>PwC IPO Watch Europe</w:t>
      </w:r>
      <w:r>
        <w:rPr>
          <w:rFonts w:ascii="Verdana" w:eastAsiaTheme="minorHAnsi" w:hAnsi="Verdana"/>
          <w:sz w:val="20"/>
          <w:lang w:val="en-GB"/>
        </w:rPr>
        <w:t xml:space="preserve"> report, the Warsaw Stock Exchange with 33 IPOs in Q2 2012 once again ranked first in Europe by the number of IPOs. 28 IPOs took place on </w:t>
      </w:r>
      <w:proofErr w:type="spellStart"/>
      <w:r>
        <w:rPr>
          <w:rFonts w:ascii="Verdana" w:eastAsiaTheme="minorHAnsi" w:hAnsi="Verdana"/>
          <w:sz w:val="20"/>
          <w:lang w:val="en-GB"/>
        </w:rPr>
        <w:t>NewConnect</w:t>
      </w:r>
      <w:proofErr w:type="spellEnd"/>
      <w:r>
        <w:rPr>
          <w:rFonts w:ascii="Verdana" w:eastAsiaTheme="minorHAnsi" w:hAnsi="Verdana"/>
          <w:sz w:val="20"/>
          <w:lang w:val="en-GB"/>
        </w:rPr>
        <w:t>, 7 more than in Q1 2012.</w:t>
      </w:r>
    </w:p>
    <w:p w:rsidR="009005FA" w:rsidRPr="00D054D7" w:rsidRDefault="009005FA" w:rsidP="009005FA">
      <w:pPr>
        <w:pStyle w:val="Tekstpodstawowy2"/>
        <w:spacing w:line="240" w:lineRule="auto"/>
        <w:rPr>
          <w:rFonts w:ascii="Verdana" w:eastAsiaTheme="minorHAnsi" w:hAnsi="Verdana"/>
          <w:sz w:val="20"/>
          <w:lang w:val="en-GB"/>
        </w:rPr>
      </w:pPr>
    </w:p>
    <w:p w:rsidR="009005FA" w:rsidRPr="00D054D7" w:rsidRDefault="006F2170" w:rsidP="009005FA">
      <w:pPr>
        <w:jc w:val="center"/>
        <w:rPr>
          <w:rFonts w:ascii="Verdana" w:hAnsi="Verdana"/>
          <w:color w:val="1F497D"/>
          <w:lang w:val="en-GB"/>
        </w:rPr>
      </w:pPr>
      <w:r w:rsidRPr="006F2170">
        <w:lastRenderedPageBreak/>
        <w:drawing>
          <wp:inline distT="0" distB="0" distL="0" distR="0">
            <wp:extent cx="5760720" cy="2653423"/>
            <wp:effectExtent l="1905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a:srcRect/>
                    <a:stretch>
                      <a:fillRect/>
                    </a:stretch>
                  </pic:blipFill>
                  <pic:spPr bwMode="auto">
                    <a:xfrm>
                      <a:off x="0" y="0"/>
                      <a:ext cx="5760720" cy="2653423"/>
                    </a:xfrm>
                    <a:prstGeom prst="rect">
                      <a:avLst/>
                    </a:prstGeom>
                    <a:noFill/>
                    <a:ln w="9525">
                      <a:noFill/>
                      <a:miter lim="800000"/>
                      <a:headEnd/>
                      <a:tailEnd/>
                    </a:ln>
                  </pic:spPr>
                </pic:pic>
              </a:graphicData>
            </a:graphic>
          </wp:inline>
        </w:drawing>
      </w:r>
    </w:p>
    <w:p w:rsidR="009005FA" w:rsidRPr="00D054D7" w:rsidRDefault="009005FA" w:rsidP="009005FA">
      <w:pPr>
        <w:rPr>
          <w:rFonts w:ascii="Verdana" w:hAnsi="Verdana"/>
          <w:color w:val="1F497D"/>
          <w:sz w:val="18"/>
          <w:szCs w:val="18"/>
          <w:lang w:val="en-GB"/>
        </w:rPr>
      </w:pPr>
      <w:r>
        <w:rPr>
          <w:rStyle w:val="Uwydatnienie"/>
          <w:rFonts w:ascii="Verdana" w:hAnsi="Verdana" w:cs="Arial"/>
          <w:color w:val="666666"/>
          <w:sz w:val="18"/>
          <w:szCs w:val="18"/>
          <w:lang w:val="en-GB"/>
        </w:rPr>
        <w:t>Source: WSE</w:t>
      </w:r>
    </w:p>
    <w:p w:rsidR="009005FA" w:rsidRPr="00D054D7" w:rsidRDefault="009005FA" w:rsidP="009005FA">
      <w:pPr>
        <w:pStyle w:val="Tekstpodstawowy2"/>
        <w:spacing w:line="240" w:lineRule="auto"/>
        <w:jc w:val="center"/>
        <w:rPr>
          <w:rFonts w:ascii="Verdana" w:eastAsiaTheme="minorHAnsi" w:hAnsi="Verdana"/>
          <w:sz w:val="20"/>
          <w:lang w:val="en-GB"/>
        </w:rPr>
      </w:pPr>
    </w:p>
    <w:p w:rsidR="009005FA" w:rsidRPr="00D054D7" w:rsidRDefault="009005FA" w:rsidP="009005FA">
      <w:pPr>
        <w:pStyle w:val="Tekstpodstawowy2"/>
        <w:spacing w:line="240" w:lineRule="auto"/>
        <w:rPr>
          <w:rFonts w:ascii="Verdana" w:eastAsiaTheme="minorHAnsi" w:hAnsi="Verdana"/>
          <w:sz w:val="20"/>
          <w:lang w:val="en-GB"/>
        </w:rPr>
      </w:pPr>
      <w:r>
        <w:rPr>
          <w:rFonts w:ascii="Verdana" w:eastAsiaTheme="minorHAnsi" w:hAnsi="Verdana"/>
          <w:sz w:val="20"/>
          <w:lang w:val="en-GB"/>
        </w:rPr>
        <w:t xml:space="preserve">Less than five years after </w:t>
      </w:r>
      <w:proofErr w:type="spellStart"/>
      <w:r>
        <w:rPr>
          <w:rFonts w:ascii="Verdana" w:eastAsiaTheme="minorHAnsi" w:hAnsi="Verdana"/>
          <w:sz w:val="20"/>
          <w:lang w:val="en-GB"/>
        </w:rPr>
        <w:t>NewConnect</w:t>
      </w:r>
      <w:proofErr w:type="spellEnd"/>
      <w:r>
        <w:rPr>
          <w:rFonts w:ascii="Verdana" w:eastAsiaTheme="minorHAnsi" w:hAnsi="Verdana"/>
          <w:sz w:val="20"/>
          <w:lang w:val="en-GB"/>
        </w:rPr>
        <w:t xml:space="preserve"> opened, the alternative stock market now lists 400 companies, including 393 Polish companies (most of which are registered in the </w:t>
      </w:r>
      <w:proofErr w:type="spellStart"/>
      <w:r>
        <w:rPr>
          <w:rFonts w:ascii="Verdana" w:eastAsiaTheme="minorHAnsi" w:hAnsi="Verdana"/>
          <w:sz w:val="20"/>
          <w:lang w:val="en-GB"/>
        </w:rPr>
        <w:t>Mazovian</w:t>
      </w:r>
      <w:proofErr w:type="spellEnd"/>
      <w:r>
        <w:rPr>
          <w:rFonts w:ascii="Verdana" w:eastAsiaTheme="minorHAnsi" w:hAnsi="Verdana"/>
          <w:sz w:val="20"/>
          <w:lang w:val="en-GB"/>
        </w:rPr>
        <w:t>, Lower Silesian, and Silesian Region) and 7 foreign companies.</w:t>
      </w:r>
    </w:p>
    <w:p w:rsidR="009005FA" w:rsidRPr="00D054D7" w:rsidRDefault="009005FA" w:rsidP="009005FA">
      <w:pPr>
        <w:pStyle w:val="Tekstpodstawowy2"/>
        <w:spacing w:line="240" w:lineRule="auto"/>
        <w:rPr>
          <w:rFonts w:ascii="Verdana" w:eastAsiaTheme="minorHAnsi" w:hAnsi="Verdana"/>
          <w:sz w:val="20"/>
          <w:lang w:val="en-GB"/>
        </w:rPr>
      </w:pPr>
    </w:p>
    <w:p w:rsidR="009005FA" w:rsidRPr="00D054D7" w:rsidRDefault="001F7880" w:rsidP="009005FA">
      <w:pPr>
        <w:jc w:val="center"/>
        <w:rPr>
          <w:rFonts w:ascii="Verdana" w:hAnsi="Verdana"/>
          <w:color w:val="1F497D"/>
          <w:lang w:val="en-GB"/>
        </w:rPr>
      </w:pPr>
      <w:r w:rsidRPr="001F7880">
        <w:drawing>
          <wp:inline distT="0" distB="0" distL="0" distR="0">
            <wp:extent cx="5760720" cy="2500724"/>
            <wp:effectExtent l="19050" t="0" r="0" b="0"/>
            <wp:docPr id="43"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9"/>
                    <a:srcRect/>
                    <a:stretch>
                      <a:fillRect/>
                    </a:stretch>
                  </pic:blipFill>
                  <pic:spPr bwMode="auto">
                    <a:xfrm>
                      <a:off x="0" y="0"/>
                      <a:ext cx="5760720" cy="2500724"/>
                    </a:xfrm>
                    <a:prstGeom prst="rect">
                      <a:avLst/>
                    </a:prstGeom>
                    <a:noFill/>
                    <a:ln w="9525">
                      <a:noFill/>
                      <a:miter lim="800000"/>
                      <a:headEnd/>
                      <a:tailEnd/>
                    </a:ln>
                  </pic:spPr>
                </pic:pic>
              </a:graphicData>
            </a:graphic>
          </wp:inline>
        </w:drawing>
      </w:r>
    </w:p>
    <w:p w:rsidR="009005FA" w:rsidRPr="00D054D7" w:rsidRDefault="009005FA" w:rsidP="009005FA">
      <w:pPr>
        <w:rPr>
          <w:rFonts w:ascii="Verdana" w:hAnsi="Verdana"/>
          <w:color w:val="1F497D"/>
          <w:sz w:val="18"/>
          <w:szCs w:val="18"/>
          <w:lang w:val="en-GB"/>
        </w:rPr>
      </w:pPr>
      <w:r>
        <w:rPr>
          <w:rStyle w:val="Uwydatnienie"/>
          <w:rFonts w:ascii="Verdana" w:hAnsi="Verdana" w:cs="Arial"/>
          <w:color w:val="666666"/>
          <w:sz w:val="18"/>
          <w:szCs w:val="18"/>
          <w:lang w:val="en-GB"/>
        </w:rPr>
        <w:t>Source: WSE</w:t>
      </w:r>
    </w:p>
    <w:p w:rsidR="009005FA" w:rsidRPr="00D054D7" w:rsidRDefault="009005FA" w:rsidP="009005FA">
      <w:pPr>
        <w:pStyle w:val="Tekstpodstawowy2"/>
        <w:spacing w:line="240" w:lineRule="auto"/>
        <w:rPr>
          <w:rFonts w:ascii="Verdana" w:eastAsiaTheme="minorHAnsi" w:hAnsi="Verdana"/>
          <w:sz w:val="20"/>
          <w:lang w:val="en-GB"/>
        </w:rPr>
      </w:pPr>
    </w:p>
    <w:p w:rsidR="009005FA" w:rsidRPr="00D054D7" w:rsidRDefault="009005FA" w:rsidP="009005FA">
      <w:pPr>
        <w:pStyle w:val="Tekstpodstawowy2"/>
        <w:spacing w:line="240" w:lineRule="auto"/>
        <w:rPr>
          <w:rFonts w:ascii="Verdana" w:hAnsi="Verdana" w:cs="Arial"/>
          <w:sz w:val="20"/>
          <w:lang w:val="en-GB"/>
        </w:rPr>
      </w:pPr>
      <w:r>
        <w:rPr>
          <w:rFonts w:ascii="Verdana" w:hAnsi="Verdana" w:cs="Arial"/>
          <w:sz w:val="20"/>
          <w:lang w:val="en-GB"/>
        </w:rPr>
        <w:t xml:space="preserve">The biggest </w:t>
      </w:r>
      <w:proofErr w:type="gramStart"/>
      <w:r>
        <w:rPr>
          <w:rFonts w:ascii="Verdana" w:hAnsi="Verdana" w:cs="Arial"/>
          <w:sz w:val="20"/>
          <w:lang w:val="en-GB"/>
        </w:rPr>
        <w:t xml:space="preserve">number of companies listed on </w:t>
      </w:r>
      <w:proofErr w:type="spellStart"/>
      <w:r>
        <w:rPr>
          <w:rFonts w:ascii="Verdana" w:hAnsi="Verdana" w:cs="Arial"/>
          <w:sz w:val="20"/>
          <w:lang w:val="en-GB"/>
        </w:rPr>
        <w:t>NewCon</w:t>
      </w:r>
      <w:bookmarkStart w:id="0" w:name="_GoBack"/>
      <w:bookmarkEnd w:id="0"/>
      <w:r>
        <w:rPr>
          <w:rFonts w:ascii="Verdana" w:hAnsi="Verdana" w:cs="Arial"/>
          <w:sz w:val="20"/>
          <w:lang w:val="en-GB"/>
        </w:rPr>
        <w:t>nect</w:t>
      </w:r>
      <w:proofErr w:type="spellEnd"/>
      <w:r>
        <w:rPr>
          <w:rFonts w:ascii="Verdana" w:hAnsi="Verdana" w:cs="Arial"/>
          <w:sz w:val="20"/>
          <w:lang w:val="en-GB"/>
        </w:rPr>
        <w:t xml:space="preserve"> operate</w:t>
      </w:r>
      <w:proofErr w:type="gramEnd"/>
      <w:r>
        <w:rPr>
          <w:rFonts w:ascii="Verdana" w:hAnsi="Verdana" w:cs="Arial"/>
          <w:sz w:val="20"/>
          <w:lang w:val="en-GB"/>
        </w:rPr>
        <w:t xml:space="preserve"> in the sector of trade (64 companies), other services (51 companies) and media (35 companies). There are also many companies from the sectors of IT, financial services, technologies, and construction.</w:t>
      </w:r>
    </w:p>
    <w:p w:rsidR="009005FA" w:rsidRPr="00D054D7" w:rsidRDefault="009005FA" w:rsidP="009005FA">
      <w:pPr>
        <w:pStyle w:val="Tekstpodstawowy2"/>
        <w:spacing w:line="240" w:lineRule="auto"/>
        <w:rPr>
          <w:rFonts w:ascii="Verdana" w:hAnsi="Verdana" w:cs="Arial"/>
          <w:sz w:val="20"/>
          <w:lang w:val="en-GB"/>
        </w:rPr>
      </w:pPr>
    </w:p>
    <w:p w:rsidR="009005FA" w:rsidRPr="00D054D7" w:rsidRDefault="009005FA" w:rsidP="009005FA">
      <w:pPr>
        <w:jc w:val="center"/>
        <w:rPr>
          <w:rFonts w:ascii="Verdana" w:hAnsi="Verdana"/>
          <w:color w:val="1F497D"/>
          <w:lang w:val="en-GB"/>
        </w:rPr>
      </w:pPr>
      <w:r w:rsidRPr="009005FA">
        <w:lastRenderedPageBreak/>
        <w:drawing>
          <wp:inline distT="0" distB="0" distL="0" distR="0">
            <wp:extent cx="5057775" cy="3476625"/>
            <wp:effectExtent l="19050" t="0" r="9525" b="0"/>
            <wp:docPr id="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057775" cy="3476625"/>
                    </a:xfrm>
                    <a:prstGeom prst="rect">
                      <a:avLst/>
                    </a:prstGeom>
                    <a:noFill/>
                    <a:ln w="9525">
                      <a:noFill/>
                      <a:miter lim="800000"/>
                      <a:headEnd/>
                      <a:tailEnd/>
                    </a:ln>
                  </pic:spPr>
                </pic:pic>
              </a:graphicData>
            </a:graphic>
          </wp:inline>
        </w:drawing>
      </w:r>
    </w:p>
    <w:p w:rsidR="009005FA" w:rsidRPr="00D054D7" w:rsidRDefault="009005FA" w:rsidP="009005FA">
      <w:pPr>
        <w:rPr>
          <w:rFonts w:ascii="Verdana" w:hAnsi="Verdana"/>
          <w:color w:val="1F497D"/>
          <w:sz w:val="18"/>
          <w:szCs w:val="18"/>
          <w:lang w:val="en-GB"/>
        </w:rPr>
      </w:pPr>
      <w:r>
        <w:rPr>
          <w:rStyle w:val="Uwydatnienie"/>
          <w:rFonts w:ascii="Verdana" w:hAnsi="Verdana" w:cs="Arial"/>
          <w:color w:val="666666"/>
          <w:sz w:val="18"/>
          <w:szCs w:val="18"/>
          <w:lang w:val="en-GB"/>
        </w:rPr>
        <w:t>Source: WSE</w:t>
      </w:r>
    </w:p>
    <w:p w:rsidR="009005FA" w:rsidRPr="00D054D7" w:rsidRDefault="009005FA" w:rsidP="009005FA">
      <w:pPr>
        <w:pStyle w:val="Tekstpodstawowy2"/>
        <w:spacing w:line="240" w:lineRule="auto"/>
        <w:rPr>
          <w:rFonts w:ascii="Verdana" w:eastAsiaTheme="minorHAnsi" w:hAnsi="Verdana"/>
          <w:sz w:val="20"/>
          <w:lang w:val="en-GB"/>
        </w:rPr>
      </w:pPr>
    </w:p>
    <w:p w:rsidR="009005FA" w:rsidRPr="00D054D7" w:rsidRDefault="009005FA" w:rsidP="009005FA">
      <w:pPr>
        <w:pStyle w:val="Tekstpodstawowy2"/>
        <w:spacing w:line="240" w:lineRule="auto"/>
        <w:rPr>
          <w:rFonts w:ascii="Verdana" w:hAnsi="Verdana" w:cs="Arial"/>
          <w:sz w:val="20"/>
          <w:lang w:val="en-GB"/>
        </w:rPr>
      </w:pPr>
      <w:r>
        <w:rPr>
          <w:rFonts w:ascii="Verdana" w:hAnsi="Verdana" w:cs="Arial"/>
          <w:sz w:val="20"/>
          <w:lang w:val="en-GB"/>
        </w:rPr>
        <w:t>In addition to the 400 listed companies, the alternative stock market has 91 Authorised Advisers, 35 market members, and over 50 data vendors and distributors of reports of companies listed on the alternative stock market.</w:t>
      </w:r>
    </w:p>
    <w:p w:rsidR="009005FA" w:rsidRPr="00D054D7" w:rsidRDefault="009005FA" w:rsidP="009005FA">
      <w:pPr>
        <w:pStyle w:val="Tekstpodstawowy2"/>
        <w:spacing w:line="240" w:lineRule="auto"/>
        <w:rPr>
          <w:rFonts w:ascii="Verdana" w:hAnsi="Verdana" w:cs="Arial"/>
          <w:color w:val="666666"/>
          <w:sz w:val="17"/>
          <w:szCs w:val="17"/>
          <w:lang w:val="en-GB"/>
        </w:rPr>
      </w:pPr>
    </w:p>
    <w:p w:rsidR="009005FA" w:rsidRPr="00D054D7" w:rsidRDefault="009005FA" w:rsidP="009005FA">
      <w:pPr>
        <w:pStyle w:val="Tekstpodstawowy2"/>
        <w:spacing w:line="240" w:lineRule="auto"/>
        <w:rPr>
          <w:rFonts w:ascii="Verdana" w:eastAsiaTheme="minorHAnsi" w:hAnsi="Verdana"/>
          <w:sz w:val="20"/>
          <w:lang w:val="en-GB"/>
        </w:rPr>
      </w:pPr>
      <w:r w:rsidRPr="00D054D7">
        <w:rPr>
          <w:rFonts w:ascii="Verdana" w:hAnsi="Verdana" w:cs="Arial"/>
          <w:color w:val="666666"/>
          <w:sz w:val="17"/>
          <w:szCs w:val="17"/>
          <w:lang w:val="en-GB"/>
        </w:rPr>
        <w:t xml:space="preserve"> </w:t>
      </w:r>
      <w:r w:rsidRPr="00D054D7">
        <w:rPr>
          <w:rFonts w:ascii="Verdana" w:eastAsiaTheme="minorHAnsi" w:hAnsi="Verdana"/>
          <w:sz w:val="20"/>
          <w:lang w:val="en-GB"/>
        </w:rPr>
        <w:t xml:space="preserve"> </w:t>
      </w:r>
    </w:p>
    <w:p w:rsidR="009005FA" w:rsidRPr="00D054D7" w:rsidRDefault="009005FA" w:rsidP="009005FA">
      <w:pPr>
        <w:jc w:val="center"/>
        <w:rPr>
          <w:rFonts w:ascii="Verdana" w:hAnsi="Verdana"/>
          <w:sz w:val="18"/>
          <w:szCs w:val="18"/>
          <w:lang w:val="en-GB"/>
        </w:rPr>
      </w:pPr>
      <w:r w:rsidRPr="00D054D7">
        <w:rPr>
          <w:rFonts w:ascii="Verdana" w:hAnsi="Verdana"/>
          <w:sz w:val="18"/>
          <w:szCs w:val="18"/>
          <w:lang w:val="en-GB"/>
        </w:rPr>
        <w:t># # #</w:t>
      </w:r>
      <w:r w:rsidRPr="00D054D7">
        <w:rPr>
          <w:rFonts w:ascii="Verdana" w:eastAsia="Times New Roman" w:hAnsi="Verdana" w:cs="Arial"/>
          <w:color w:val="666666"/>
          <w:sz w:val="17"/>
          <w:szCs w:val="17"/>
          <w:lang w:val="en-GB" w:eastAsia="pl-PL"/>
        </w:rPr>
        <w:br/>
      </w:r>
    </w:p>
    <w:p w:rsidR="009005FA" w:rsidRPr="00D054D7" w:rsidRDefault="009005FA" w:rsidP="009005FA">
      <w:pPr>
        <w:pStyle w:val="NormalnyWeb"/>
        <w:spacing w:line="240" w:lineRule="atLeast"/>
        <w:jc w:val="both"/>
        <w:rPr>
          <w:rFonts w:ascii="Verdana" w:hAnsi="Verdana"/>
          <w:iCs/>
          <w:sz w:val="18"/>
          <w:szCs w:val="18"/>
          <w:lang w:val="en-GB"/>
        </w:rPr>
      </w:pPr>
      <w:r>
        <w:rPr>
          <w:rFonts w:ascii="Verdana" w:hAnsi="Verdana"/>
          <w:b/>
          <w:bCs/>
          <w:sz w:val="18"/>
          <w:szCs w:val="18"/>
          <w:lang w:val="en-GB"/>
        </w:rPr>
        <w:t>Warsaw Stock Exchange</w:t>
      </w:r>
    </w:p>
    <w:p w:rsidR="009005FA" w:rsidRPr="00D054D7" w:rsidRDefault="009005FA" w:rsidP="009005FA">
      <w:pPr>
        <w:pStyle w:val="NormalnyWeb"/>
        <w:spacing w:line="240" w:lineRule="atLeast"/>
        <w:jc w:val="both"/>
        <w:rPr>
          <w:rFonts w:ascii="Verdana" w:hAnsi="Verdana" w:cs="Arial"/>
          <w:sz w:val="18"/>
          <w:szCs w:val="18"/>
          <w:lang w:val="en-GB"/>
        </w:rPr>
      </w:pPr>
      <w:r w:rsidRPr="00E337CE">
        <w:rPr>
          <w:rFonts w:ascii="Verdana" w:hAnsi="Verdana"/>
          <w:sz w:val="18"/>
          <w:szCs w:val="18"/>
          <w:lang w:val="en-GB"/>
        </w:rPr>
        <w:t xml:space="preserve">The Warsaw Stock Exchange is the biggest securities exchange in Central and Eastern Europe. The WSE organises trading on one of the most dynamically growing capital markets in Europe. The WSE operates a regulated market of shares and derivative instruments and the alternative stock market </w:t>
      </w:r>
      <w:proofErr w:type="spellStart"/>
      <w:r w:rsidRPr="00E337CE">
        <w:rPr>
          <w:rFonts w:ascii="Verdana" w:hAnsi="Verdana"/>
          <w:sz w:val="18"/>
          <w:szCs w:val="18"/>
          <w:lang w:val="en-GB"/>
        </w:rPr>
        <w:t>NewConnect</w:t>
      </w:r>
      <w:proofErr w:type="spellEnd"/>
      <w:r w:rsidRPr="00E337CE">
        <w:rPr>
          <w:rFonts w:ascii="Verdana" w:hAnsi="Verdana"/>
          <w:sz w:val="18"/>
          <w:szCs w:val="18"/>
          <w:lang w:val="en-GB"/>
        </w:rPr>
        <w:t xml:space="preserve"> for growing companies. The WSE is developing Catalyst, a market for issuers of corporate and municipal bonds, as well as an energy market. Since 9 November 2010, the WSE is a public company listed on the Warsaw Stock Exchange. For more information visit http://www.gpw.pl</w:t>
      </w:r>
    </w:p>
    <w:p w:rsidR="0068769D" w:rsidRPr="009005FA" w:rsidRDefault="0068769D" w:rsidP="009005FA">
      <w:pPr>
        <w:rPr>
          <w:szCs w:val="18"/>
        </w:rPr>
      </w:pPr>
    </w:p>
    <w:sectPr w:rsidR="0068769D" w:rsidRPr="009005FA" w:rsidSect="000E3D50">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C5B" w:rsidRDefault="00E54C5B" w:rsidP="00C74B0B">
      <w:pPr>
        <w:spacing w:after="0" w:line="240" w:lineRule="auto"/>
      </w:pPr>
      <w:r>
        <w:separator/>
      </w:r>
    </w:p>
  </w:endnote>
  <w:endnote w:type="continuationSeparator" w:id="0">
    <w:p w:rsidR="00E54C5B" w:rsidRDefault="00E54C5B" w:rsidP="00C74B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Verdana">
    <w:panose1 w:val="020B0604030504040204"/>
    <w:charset w:val="EE"/>
    <w:family w:val="swiss"/>
    <w:pitch w:val="variable"/>
    <w:sig w:usb0="20000287" w:usb1="00000000"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EE"/>
    <w:family w:val="roman"/>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5B" w:rsidRPr="00FA067F" w:rsidRDefault="00E54C5B" w:rsidP="00C74B0B">
    <w:pPr>
      <w:pStyle w:val="Stopka"/>
      <w:rPr>
        <w:rFonts w:ascii="Verdana" w:hAnsi="Verdana" w:cs="Arial"/>
        <w:b/>
        <w:color w:val="808080" w:themeColor="background1" w:themeShade="80"/>
        <w:sz w:val="18"/>
        <w:szCs w:val="18"/>
        <w:lang w:val="en-US"/>
      </w:rPr>
    </w:pPr>
    <w:r w:rsidRPr="00FA067F">
      <w:rPr>
        <w:rFonts w:ascii="Verdana" w:hAnsi="Verdana" w:cs="Arial"/>
        <w:b/>
        <w:color w:val="808080" w:themeColor="background1" w:themeShade="80"/>
        <w:sz w:val="18"/>
        <w:szCs w:val="18"/>
        <w:lang w:val="en-US"/>
      </w:rPr>
      <w:t>WSE Media Relations</w:t>
    </w:r>
  </w:p>
  <w:p w:rsidR="00E54C5B" w:rsidRPr="009005FA" w:rsidRDefault="00E54C5B" w:rsidP="00C74B0B">
    <w:pPr>
      <w:pStyle w:val="Stopka"/>
      <w:rPr>
        <w:rFonts w:ascii="Verdana" w:hAnsi="Verdana"/>
        <w:sz w:val="18"/>
        <w:szCs w:val="18"/>
      </w:rPr>
    </w:pPr>
    <w:r w:rsidRPr="009005FA">
      <w:rPr>
        <w:rFonts w:ascii="Verdana" w:hAnsi="Verdana" w:cs="Arial"/>
        <w:b/>
        <w:color w:val="808080" w:themeColor="background1" w:themeShade="80"/>
        <w:sz w:val="18"/>
        <w:szCs w:val="18"/>
      </w:rPr>
      <w:br/>
    </w:r>
    <w:r w:rsidRPr="009005FA">
      <w:rPr>
        <w:rFonts w:ascii="Verdana" w:hAnsi="Verdana" w:cs="Arial"/>
        <w:color w:val="808080" w:themeColor="background1" w:themeShade="80"/>
        <w:sz w:val="18"/>
        <w:szCs w:val="18"/>
      </w:rPr>
      <w:t xml:space="preserve">Anna Wiśniewska,  Tel.+48 22 537 77 17, +48 607 774 060, </w:t>
    </w:r>
    <w:hyperlink r:id="rId1" w:history="1">
      <w:r w:rsidRPr="009005FA">
        <w:rPr>
          <w:rStyle w:val="Hipercze"/>
          <w:rFonts w:ascii="Verdana" w:hAnsi="Verdana" w:cs="Arial"/>
          <w:sz w:val="18"/>
          <w:szCs w:val="18"/>
        </w:rPr>
        <w:t>anna.wisniewska@gpw.pl</w:t>
      </w:r>
    </w:hyperlink>
  </w:p>
  <w:p w:rsidR="00E54C5B" w:rsidRPr="00222A2C" w:rsidRDefault="00E54C5B" w:rsidP="00C74B0B">
    <w:pPr>
      <w:pStyle w:val="Stopka"/>
      <w:rPr>
        <w:rFonts w:ascii="Verdana" w:hAnsi="Verdana"/>
        <w:sz w:val="18"/>
        <w:szCs w:val="18"/>
      </w:rPr>
    </w:pPr>
    <w:r w:rsidRPr="00222A2C">
      <w:rPr>
        <w:rFonts w:ascii="Verdana" w:hAnsi="Verdana" w:cs="Arial"/>
        <w:color w:val="808080" w:themeColor="background1" w:themeShade="80"/>
        <w:sz w:val="18"/>
        <w:szCs w:val="18"/>
      </w:rPr>
      <w:t>Marta Grajeta, Tel. +48 22 537 77 66, +48 603 369 699,</w:t>
    </w:r>
    <w:r w:rsidRPr="00222A2C">
      <w:rPr>
        <w:rFonts w:ascii="Verdana" w:hAnsi="Verdana"/>
        <w:sz w:val="18"/>
        <w:szCs w:val="18"/>
      </w:rPr>
      <w:t xml:space="preserve"> </w:t>
    </w:r>
    <w:hyperlink r:id="rId2" w:history="1">
      <w:r w:rsidRPr="00222A2C">
        <w:rPr>
          <w:rStyle w:val="Hipercze"/>
          <w:rFonts w:ascii="Verdana" w:hAnsi="Verdana"/>
          <w:sz w:val="18"/>
          <w:szCs w:val="18"/>
        </w:rPr>
        <w:t>marta.grajeta@gpw.pl</w:t>
      </w:r>
    </w:hyperlink>
  </w:p>
  <w:p w:rsidR="00E54C5B" w:rsidRPr="00222A2C" w:rsidRDefault="00E54C5B" w:rsidP="00C74B0B">
    <w:pPr>
      <w:pStyle w:val="Stopka"/>
      <w:rPr>
        <w:rFonts w:ascii="Verdana" w:hAnsi="Verdana"/>
        <w:sz w:val="18"/>
        <w:szCs w:val="18"/>
      </w:rPr>
    </w:pPr>
    <w:r w:rsidRPr="00222A2C">
      <w:rPr>
        <w:rFonts w:ascii="Verdana" w:hAnsi="Verdana" w:cs="Arial"/>
        <w:color w:val="808080" w:themeColor="background1" w:themeShade="80"/>
        <w:sz w:val="18"/>
        <w:szCs w:val="18"/>
      </w:rPr>
      <w:t xml:space="preserve">Olga Chądzeńska, Tel. +48 22 537 78 99, +48 603 366 808, </w:t>
    </w:r>
    <w:hyperlink r:id="rId3" w:history="1">
      <w:r w:rsidRPr="00302502">
        <w:rPr>
          <w:rStyle w:val="Hipercze"/>
          <w:rFonts w:ascii="Verdana" w:hAnsi="Verdana" w:cs="Arial"/>
          <w:sz w:val="18"/>
          <w:szCs w:val="18"/>
        </w:rPr>
        <w:t>olga.chadzenska@gpw.pl</w:t>
      </w:r>
    </w:hyperlink>
  </w:p>
  <w:p w:rsidR="00E54C5B" w:rsidRPr="00222A2C" w:rsidRDefault="00E54C5B" w:rsidP="00C74B0B">
    <w:pPr>
      <w:pStyle w:val="Stopka"/>
      <w:rPr>
        <w:rFonts w:ascii="Verdana" w:hAnsi="Verdana" w:cs="Arial"/>
        <w:color w:val="808080" w:themeColor="background1" w:themeShade="80"/>
        <w:sz w:val="18"/>
        <w:szCs w:val="18"/>
      </w:rPr>
    </w:pPr>
    <w:r w:rsidRPr="00222A2C">
      <w:rPr>
        <w:rFonts w:ascii="Verdana" w:hAnsi="Verdana" w:cs="Arial"/>
        <w:color w:val="808080" w:themeColor="background1" w:themeShade="80"/>
        <w:sz w:val="18"/>
        <w:szCs w:val="18"/>
      </w:rPr>
      <w:t xml:space="preserve">Martyna Makiel, Tel. +48 22 537 </w:t>
    </w:r>
    <w:r>
      <w:rPr>
        <w:rFonts w:ascii="Verdana" w:hAnsi="Verdana" w:cs="Arial"/>
        <w:color w:val="808080" w:themeColor="background1" w:themeShade="80"/>
        <w:sz w:val="18"/>
        <w:szCs w:val="18"/>
      </w:rPr>
      <w:t>7089</w:t>
    </w:r>
    <w:r w:rsidRPr="00222A2C">
      <w:rPr>
        <w:rFonts w:ascii="Verdana" w:hAnsi="Verdana" w:cs="Arial"/>
        <w:color w:val="808080" w:themeColor="background1" w:themeShade="80"/>
        <w:sz w:val="18"/>
        <w:szCs w:val="18"/>
      </w:rPr>
      <w:t>, +48</w:t>
    </w:r>
    <w:r>
      <w:rPr>
        <w:rFonts w:ascii="Verdana" w:hAnsi="Verdana" w:cs="Arial"/>
        <w:color w:val="808080" w:themeColor="background1" w:themeShade="80"/>
        <w:sz w:val="18"/>
        <w:szCs w:val="18"/>
      </w:rPr>
      <w:t> </w:t>
    </w:r>
    <w:r w:rsidRPr="00222A2C">
      <w:rPr>
        <w:rFonts w:ascii="Verdana" w:hAnsi="Verdana" w:cs="Arial"/>
        <w:color w:val="808080" w:themeColor="background1" w:themeShade="80"/>
        <w:sz w:val="18"/>
        <w:szCs w:val="18"/>
      </w:rPr>
      <w:t>60</w:t>
    </w:r>
    <w:r>
      <w:rPr>
        <w:rFonts w:ascii="Verdana" w:hAnsi="Verdana" w:cs="Arial"/>
        <w:color w:val="808080" w:themeColor="background1" w:themeShade="80"/>
        <w:sz w:val="18"/>
        <w:szCs w:val="18"/>
      </w:rPr>
      <w:t>5 470 938</w:t>
    </w:r>
    <w:r w:rsidRPr="00222A2C">
      <w:rPr>
        <w:rFonts w:ascii="Verdana" w:hAnsi="Verdana" w:cs="Arial"/>
        <w:color w:val="808080" w:themeColor="background1" w:themeShade="80"/>
        <w:sz w:val="18"/>
        <w:szCs w:val="18"/>
      </w:rPr>
      <w:t xml:space="preserve">, </w:t>
    </w:r>
    <w:hyperlink r:id="rId4" w:history="1">
      <w:r w:rsidRPr="00222A2C">
        <w:rPr>
          <w:rStyle w:val="Hipercze"/>
          <w:rFonts w:ascii="Verdana" w:hAnsi="Verdana" w:cs="Arial"/>
          <w:sz w:val="18"/>
          <w:szCs w:val="18"/>
        </w:rPr>
        <w:t>martyna.makiel@gpw.pl</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C5B" w:rsidRDefault="00E54C5B" w:rsidP="00C74B0B">
      <w:pPr>
        <w:spacing w:after="0" w:line="240" w:lineRule="auto"/>
      </w:pPr>
      <w:r>
        <w:separator/>
      </w:r>
    </w:p>
  </w:footnote>
  <w:footnote w:type="continuationSeparator" w:id="0">
    <w:p w:rsidR="00E54C5B" w:rsidRDefault="00E54C5B" w:rsidP="00C74B0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4C5B" w:rsidRPr="00FF2BED" w:rsidRDefault="00E54C5B" w:rsidP="00FF2BED">
    <w:pPr>
      <w:pStyle w:val="Nagwek"/>
    </w:pPr>
    <w:r>
      <w:rPr>
        <w:noProof/>
        <w:lang w:eastAsia="pl-PL"/>
      </w:rPr>
      <w:drawing>
        <wp:inline distT="0" distB="0" distL="0" distR="0">
          <wp:extent cx="2000250" cy="799176"/>
          <wp:effectExtent l="19050" t="0" r="0" b="0"/>
          <wp:docPr id="2" name="Obraz 1" descr="logo_intern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ternet.jpg"/>
                  <pic:cNvPicPr/>
                </pic:nvPicPr>
                <pic:blipFill>
                  <a:blip r:embed="rId1"/>
                  <a:stretch>
                    <a:fillRect/>
                  </a:stretch>
                </pic:blipFill>
                <pic:spPr>
                  <a:xfrm>
                    <a:off x="0" y="0"/>
                    <a:ext cx="2003296" cy="80039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40788AF8"/>
    <w:lvl w:ilvl="0">
      <w:start w:val="1"/>
      <w:numFmt w:val="bullet"/>
      <w:lvlText w:val=""/>
      <w:lvlJc w:val="left"/>
      <w:pPr>
        <w:tabs>
          <w:tab w:val="num" w:pos="1209"/>
        </w:tabs>
        <w:ind w:left="1209" w:hanging="360"/>
      </w:pPr>
      <w:rPr>
        <w:rFonts w:ascii="Symbol" w:hAnsi="Symbol" w:hint="default"/>
      </w:rPr>
    </w:lvl>
  </w:abstractNum>
  <w:abstractNum w:abstractNumId="1">
    <w:nsid w:val="255568FC"/>
    <w:multiLevelType w:val="multilevel"/>
    <w:tmpl w:val="B08A3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C5060F"/>
    <w:multiLevelType w:val="hybridMultilevel"/>
    <w:tmpl w:val="301605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rsids>
    <w:rsidRoot w:val="008F638F"/>
    <w:rsid w:val="000168EF"/>
    <w:rsid w:val="000277ED"/>
    <w:rsid w:val="00031AF7"/>
    <w:rsid w:val="000C6104"/>
    <w:rsid w:val="000C62E5"/>
    <w:rsid w:val="000E3D50"/>
    <w:rsid w:val="000E42DB"/>
    <w:rsid w:val="0012744C"/>
    <w:rsid w:val="00143313"/>
    <w:rsid w:val="00155A95"/>
    <w:rsid w:val="00162803"/>
    <w:rsid w:val="001F7880"/>
    <w:rsid w:val="00216275"/>
    <w:rsid w:val="00217727"/>
    <w:rsid w:val="00253243"/>
    <w:rsid w:val="002B54B7"/>
    <w:rsid w:val="002F2013"/>
    <w:rsid w:val="0032732A"/>
    <w:rsid w:val="00332902"/>
    <w:rsid w:val="00353B4B"/>
    <w:rsid w:val="003A4B2B"/>
    <w:rsid w:val="003D428E"/>
    <w:rsid w:val="003D603B"/>
    <w:rsid w:val="00454E2E"/>
    <w:rsid w:val="004E17FA"/>
    <w:rsid w:val="00504F06"/>
    <w:rsid w:val="0054136F"/>
    <w:rsid w:val="00614402"/>
    <w:rsid w:val="00636C88"/>
    <w:rsid w:val="0068769D"/>
    <w:rsid w:val="006C47E9"/>
    <w:rsid w:val="006E4403"/>
    <w:rsid w:val="006F2170"/>
    <w:rsid w:val="00720D53"/>
    <w:rsid w:val="00764D20"/>
    <w:rsid w:val="007D78F7"/>
    <w:rsid w:val="007F49B8"/>
    <w:rsid w:val="00806A08"/>
    <w:rsid w:val="008F0E3B"/>
    <w:rsid w:val="008F638F"/>
    <w:rsid w:val="009005FA"/>
    <w:rsid w:val="0097095F"/>
    <w:rsid w:val="009A18B5"/>
    <w:rsid w:val="009A6E2A"/>
    <w:rsid w:val="009D070E"/>
    <w:rsid w:val="00A042F6"/>
    <w:rsid w:val="00A10D74"/>
    <w:rsid w:val="00A30311"/>
    <w:rsid w:val="00A44178"/>
    <w:rsid w:val="00A56C07"/>
    <w:rsid w:val="00AA3F62"/>
    <w:rsid w:val="00AF1920"/>
    <w:rsid w:val="00AF3AE4"/>
    <w:rsid w:val="00B25220"/>
    <w:rsid w:val="00B81CFE"/>
    <w:rsid w:val="00BE0C88"/>
    <w:rsid w:val="00BF405A"/>
    <w:rsid w:val="00C149F0"/>
    <w:rsid w:val="00C56523"/>
    <w:rsid w:val="00C63BE8"/>
    <w:rsid w:val="00C74B0B"/>
    <w:rsid w:val="00CA3283"/>
    <w:rsid w:val="00CB651E"/>
    <w:rsid w:val="00CC26D8"/>
    <w:rsid w:val="00CC547C"/>
    <w:rsid w:val="00D44D49"/>
    <w:rsid w:val="00D533B8"/>
    <w:rsid w:val="00D727DB"/>
    <w:rsid w:val="00DA27B5"/>
    <w:rsid w:val="00DD092A"/>
    <w:rsid w:val="00E337CE"/>
    <w:rsid w:val="00E47AF7"/>
    <w:rsid w:val="00E54C5B"/>
    <w:rsid w:val="00E60E39"/>
    <w:rsid w:val="00E6699F"/>
    <w:rsid w:val="00E81748"/>
    <w:rsid w:val="00E85819"/>
    <w:rsid w:val="00EA5BE0"/>
    <w:rsid w:val="00EC4BB2"/>
    <w:rsid w:val="00EF72C5"/>
    <w:rsid w:val="00EF763A"/>
    <w:rsid w:val="00F4003A"/>
    <w:rsid w:val="00F448FB"/>
    <w:rsid w:val="00F9261F"/>
    <w:rsid w:val="00FA067F"/>
    <w:rsid w:val="00FC5DF4"/>
    <w:rsid w:val="00FF2BED"/>
  </w:rsids>
  <m:mathPr>
    <m:mathFont m:val="Cambria Math"/>
    <m:brkBin m:val="before"/>
    <m:brkBinSub m:val="--"/>
    <m:smallFrac m:val="off"/>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05FA"/>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F638F"/>
    <w:rPr>
      <w:color w:val="0000FF"/>
      <w:u w:val="single"/>
    </w:rPr>
  </w:style>
  <w:style w:type="paragraph" w:styleId="Akapitzlist">
    <w:name w:val="List Paragraph"/>
    <w:basedOn w:val="Normalny"/>
    <w:uiPriority w:val="34"/>
    <w:qFormat/>
    <w:rsid w:val="00A042F6"/>
    <w:pPr>
      <w:ind w:left="720"/>
      <w:contextualSpacing/>
    </w:pPr>
  </w:style>
  <w:style w:type="paragraph" w:styleId="Nagwek">
    <w:name w:val="header"/>
    <w:basedOn w:val="Normalny"/>
    <w:link w:val="NagwekZnak"/>
    <w:uiPriority w:val="99"/>
    <w:unhideWhenUsed/>
    <w:rsid w:val="00C74B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4B0B"/>
  </w:style>
  <w:style w:type="paragraph" w:styleId="Stopka">
    <w:name w:val="footer"/>
    <w:basedOn w:val="Normalny"/>
    <w:link w:val="StopkaZnak"/>
    <w:uiPriority w:val="99"/>
    <w:unhideWhenUsed/>
    <w:rsid w:val="00C74B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4B0B"/>
  </w:style>
  <w:style w:type="paragraph" w:styleId="Tekstdymka">
    <w:name w:val="Balloon Text"/>
    <w:basedOn w:val="Normalny"/>
    <w:link w:val="TekstdymkaZnak"/>
    <w:uiPriority w:val="99"/>
    <w:semiHidden/>
    <w:unhideWhenUsed/>
    <w:rsid w:val="00FF2B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2BED"/>
    <w:rPr>
      <w:rFonts w:ascii="Tahoma" w:hAnsi="Tahoma" w:cs="Tahoma"/>
      <w:sz w:val="16"/>
      <w:szCs w:val="16"/>
    </w:rPr>
  </w:style>
  <w:style w:type="paragraph" w:styleId="Tekstpodstawowy2">
    <w:name w:val="Body Text 2"/>
    <w:basedOn w:val="Normalny"/>
    <w:link w:val="Tekstpodstawowy2Znak"/>
    <w:uiPriority w:val="99"/>
    <w:rsid w:val="00FF2BED"/>
    <w:pPr>
      <w:spacing w:after="0" w:line="360" w:lineRule="auto"/>
      <w:jc w:val="both"/>
    </w:pPr>
    <w:rPr>
      <w:rFonts w:ascii="Arial" w:eastAsia="Times New Roman" w:hAnsi="Arial"/>
      <w:sz w:val="24"/>
      <w:szCs w:val="20"/>
      <w:lang w:eastAsia="pl-PL"/>
    </w:rPr>
  </w:style>
  <w:style w:type="character" w:customStyle="1" w:styleId="Tekstpodstawowy2Znak">
    <w:name w:val="Tekst podstawowy 2 Znak"/>
    <w:basedOn w:val="Domylnaczcionkaakapitu"/>
    <w:link w:val="Tekstpodstawowy2"/>
    <w:uiPriority w:val="99"/>
    <w:rsid w:val="00FF2BED"/>
    <w:rPr>
      <w:rFonts w:ascii="Arial" w:eastAsia="Times New Roman" w:hAnsi="Arial" w:cs="Times New Roman"/>
      <w:sz w:val="24"/>
      <w:szCs w:val="20"/>
      <w:lang w:eastAsia="pl-PL"/>
    </w:rPr>
  </w:style>
  <w:style w:type="character" w:styleId="Pogrubienie">
    <w:name w:val="Strong"/>
    <w:basedOn w:val="Domylnaczcionkaakapitu"/>
    <w:uiPriority w:val="22"/>
    <w:qFormat/>
    <w:rsid w:val="00253243"/>
    <w:rPr>
      <w:b/>
      <w:bCs/>
    </w:rPr>
  </w:style>
  <w:style w:type="paragraph" w:styleId="NormalnyWeb">
    <w:name w:val="Normal (Web)"/>
    <w:basedOn w:val="Normalny"/>
    <w:uiPriority w:val="99"/>
    <w:unhideWhenUsed/>
    <w:rsid w:val="00253243"/>
    <w:pPr>
      <w:spacing w:after="150" w:line="240" w:lineRule="auto"/>
    </w:pPr>
    <w:rPr>
      <w:rFonts w:ascii="Times New Roman" w:eastAsia="Times New Roman" w:hAnsi="Times New Roman"/>
      <w:sz w:val="24"/>
      <w:szCs w:val="24"/>
      <w:lang w:eastAsia="pl-PL"/>
    </w:rPr>
  </w:style>
  <w:style w:type="character" w:styleId="Uwydatnienie">
    <w:name w:val="Emphasis"/>
    <w:basedOn w:val="Domylnaczcionkaakapitu"/>
    <w:uiPriority w:val="20"/>
    <w:qFormat/>
    <w:rsid w:val="00253243"/>
    <w:rPr>
      <w:i/>
      <w:iCs/>
    </w:rPr>
  </w:style>
  <w:style w:type="paragraph" w:styleId="Tekstprzypisukocowego">
    <w:name w:val="endnote text"/>
    <w:basedOn w:val="Normalny"/>
    <w:link w:val="TekstprzypisukocowegoZnak"/>
    <w:uiPriority w:val="99"/>
    <w:semiHidden/>
    <w:unhideWhenUsed/>
    <w:rsid w:val="003329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2902"/>
    <w:rPr>
      <w:sz w:val="20"/>
      <w:szCs w:val="20"/>
    </w:rPr>
  </w:style>
  <w:style w:type="character" w:styleId="Odwoanieprzypisukocowego">
    <w:name w:val="endnote reference"/>
    <w:basedOn w:val="Domylnaczcionkaakapitu"/>
    <w:uiPriority w:val="99"/>
    <w:semiHidden/>
    <w:unhideWhenUsed/>
    <w:rsid w:val="00332902"/>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E3D5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F638F"/>
    <w:rPr>
      <w:color w:val="0000FF"/>
      <w:u w:val="single"/>
    </w:rPr>
  </w:style>
  <w:style w:type="paragraph" w:styleId="Akapitzlist">
    <w:name w:val="List Paragraph"/>
    <w:basedOn w:val="Normalny"/>
    <w:uiPriority w:val="34"/>
    <w:qFormat/>
    <w:rsid w:val="00A042F6"/>
    <w:pPr>
      <w:ind w:left="720"/>
      <w:contextualSpacing/>
    </w:pPr>
  </w:style>
  <w:style w:type="paragraph" w:styleId="Nagwek">
    <w:name w:val="header"/>
    <w:basedOn w:val="Normalny"/>
    <w:link w:val="NagwekZnak"/>
    <w:uiPriority w:val="99"/>
    <w:unhideWhenUsed/>
    <w:rsid w:val="00C74B0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74B0B"/>
  </w:style>
  <w:style w:type="paragraph" w:styleId="Stopka">
    <w:name w:val="footer"/>
    <w:basedOn w:val="Normalny"/>
    <w:link w:val="StopkaZnak"/>
    <w:uiPriority w:val="99"/>
    <w:unhideWhenUsed/>
    <w:rsid w:val="00C74B0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74B0B"/>
  </w:style>
  <w:style w:type="paragraph" w:styleId="Tekstdymka">
    <w:name w:val="Balloon Text"/>
    <w:basedOn w:val="Normalny"/>
    <w:link w:val="TekstdymkaZnak"/>
    <w:uiPriority w:val="99"/>
    <w:semiHidden/>
    <w:unhideWhenUsed/>
    <w:rsid w:val="00FF2BE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F2BED"/>
    <w:rPr>
      <w:rFonts w:ascii="Tahoma" w:hAnsi="Tahoma" w:cs="Tahoma"/>
      <w:sz w:val="16"/>
      <w:szCs w:val="16"/>
    </w:rPr>
  </w:style>
  <w:style w:type="paragraph" w:styleId="Tekstpodstawowy2">
    <w:name w:val="Body Text 2"/>
    <w:basedOn w:val="Normalny"/>
    <w:link w:val="Tekstpodstawowy2Znak"/>
    <w:rsid w:val="00FF2BED"/>
    <w:pPr>
      <w:spacing w:after="0" w:line="360" w:lineRule="auto"/>
      <w:jc w:val="both"/>
    </w:pPr>
    <w:rPr>
      <w:rFonts w:ascii="Arial" w:eastAsia="Times New Roman" w:hAnsi="Arial" w:cs="Times New Roman"/>
      <w:sz w:val="24"/>
      <w:szCs w:val="20"/>
      <w:lang w:eastAsia="pl-PL"/>
    </w:rPr>
  </w:style>
  <w:style w:type="character" w:customStyle="1" w:styleId="Tekstpodstawowy2Znak">
    <w:name w:val="Tekst podstawowy 2 Znak"/>
    <w:basedOn w:val="Domylnaczcionkaakapitu"/>
    <w:link w:val="Tekstpodstawowy2"/>
    <w:rsid w:val="00FF2BED"/>
    <w:rPr>
      <w:rFonts w:ascii="Arial" w:eastAsia="Times New Roman" w:hAnsi="Arial" w:cs="Times New Roman"/>
      <w:sz w:val="24"/>
      <w:szCs w:val="20"/>
      <w:lang w:eastAsia="pl-PL"/>
    </w:rPr>
  </w:style>
  <w:style w:type="character" w:styleId="Pogrubienie">
    <w:name w:val="Strong"/>
    <w:basedOn w:val="Domylnaczcionkaakapitu"/>
    <w:uiPriority w:val="22"/>
    <w:qFormat/>
    <w:rsid w:val="00253243"/>
    <w:rPr>
      <w:b/>
      <w:bCs/>
    </w:rPr>
  </w:style>
  <w:style w:type="paragraph" w:styleId="NormalnyWeb">
    <w:name w:val="Normal (Web)"/>
    <w:basedOn w:val="Normalny"/>
    <w:uiPriority w:val="99"/>
    <w:unhideWhenUsed/>
    <w:rsid w:val="00253243"/>
    <w:pPr>
      <w:spacing w:after="150" w:line="240" w:lineRule="auto"/>
    </w:pPr>
    <w:rPr>
      <w:rFonts w:ascii="Times New Roman" w:eastAsia="Times New Roman" w:hAnsi="Times New Roman" w:cs="Times New Roman"/>
      <w:sz w:val="24"/>
      <w:szCs w:val="24"/>
      <w:lang w:eastAsia="pl-PL"/>
    </w:rPr>
  </w:style>
  <w:style w:type="character" w:styleId="Wyrnienie">
    <w:name w:val="Emphasis"/>
    <w:basedOn w:val="Domylnaczcionkaakapitu"/>
    <w:uiPriority w:val="20"/>
    <w:qFormat/>
    <w:rsid w:val="00253243"/>
    <w:rPr>
      <w:i/>
      <w:iCs/>
    </w:rPr>
  </w:style>
  <w:style w:type="paragraph" w:styleId="Tekstprzypisukocowego">
    <w:name w:val="endnote text"/>
    <w:basedOn w:val="Normalny"/>
    <w:link w:val="TekstprzypisukocowegoZnak"/>
    <w:uiPriority w:val="99"/>
    <w:semiHidden/>
    <w:unhideWhenUsed/>
    <w:rsid w:val="003329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32902"/>
    <w:rPr>
      <w:sz w:val="20"/>
      <w:szCs w:val="20"/>
    </w:rPr>
  </w:style>
  <w:style w:type="character" w:styleId="Odwoanieprzypisukocowego">
    <w:name w:val="endnote reference"/>
    <w:basedOn w:val="Domylnaczcionkaakapitu"/>
    <w:uiPriority w:val="99"/>
    <w:semiHidden/>
    <w:unhideWhenUsed/>
    <w:rsid w:val="00332902"/>
    <w:rPr>
      <w:vertAlign w:val="superscript"/>
    </w:rPr>
  </w:style>
</w:styles>
</file>

<file path=word/webSettings.xml><?xml version="1.0" encoding="utf-8"?>
<w:webSettings xmlns:r="http://schemas.openxmlformats.org/officeDocument/2006/relationships" xmlns:w="http://schemas.openxmlformats.org/wordprocessingml/2006/main">
  <w:divs>
    <w:div w:id="42601655">
      <w:bodyDiv w:val="1"/>
      <w:marLeft w:val="0"/>
      <w:marRight w:val="0"/>
      <w:marTop w:val="0"/>
      <w:marBottom w:val="0"/>
      <w:divBdr>
        <w:top w:val="none" w:sz="0" w:space="0" w:color="auto"/>
        <w:left w:val="none" w:sz="0" w:space="0" w:color="auto"/>
        <w:bottom w:val="none" w:sz="0" w:space="0" w:color="auto"/>
        <w:right w:val="none" w:sz="0" w:space="0" w:color="auto"/>
      </w:divBdr>
    </w:div>
    <w:div w:id="137384135">
      <w:bodyDiv w:val="1"/>
      <w:marLeft w:val="0"/>
      <w:marRight w:val="0"/>
      <w:marTop w:val="0"/>
      <w:marBottom w:val="0"/>
      <w:divBdr>
        <w:top w:val="none" w:sz="0" w:space="0" w:color="auto"/>
        <w:left w:val="none" w:sz="0" w:space="0" w:color="auto"/>
        <w:bottom w:val="none" w:sz="0" w:space="0" w:color="auto"/>
        <w:right w:val="none" w:sz="0" w:space="0" w:color="auto"/>
      </w:divBdr>
    </w:div>
    <w:div w:id="670959225">
      <w:bodyDiv w:val="1"/>
      <w:marLeft w:val="0"/>
      <w:marRight w:val="0"/>
      <w:marTop w:val="0"/>
      <w:marBottom w:val="0"/>
      <w:divBdr>
        <w:top w:val="none" w:sz="0" w:space="0" w:color="auto"/>
        <w:left w:val="none" w:sz="0" w:space="0" w:color="auto"/>
        <w:bottom w:val="none" w:sz="0" w:space="0" w:color="auto"/>
        <w:right w:val="none" w:sz="0" w:space="0" w:color="auto"/>
      </w:divBdr>
    </w:div>
    <w:div w:id="746459727">
      <w:bodyDiv w:val="1"/>
      <w:marLeft w:val="0"/>
      <w:marRight w:val="0"/>
      <w:marTop w:val="0"/>
      <w:marBottom w:val="0"/>
      <w:divBdr>
        <w:top w:val="none" w:sz="0" w:space="0" w:color="auto"/>
        <w:left w:val="none" w:sz="0" w:space="0" w:color="auto"/>
        <w:bottom w:val="none" w:sz="0" w:space="0" w:color="auto"/>
        <w:right w:val="none" w:sz="0" w:space="0" w:color="auto"/>
      </w:divBdr>
      <w:divsChild>
        <w:div w:id="12997529">
          <w:marLeft w:val="0"/>
          <w:marRight w:val="0"/>
          <w:marTop w:val="100"/>
          <w:marBottom w:val="100"/>
          <w:divBdr>
            <w:top w:val="none" w:sz="0" w:space="0" w:color="auto"/>
            <w:left w:val="none" w:sz="0" w:space="0" w:color="auto"/>
            <w:bottom w:val="none" w:sz="0" w:space="0" w:color="auto"/>
            <w:right w:val="none" w:sz="0" w:space="0" w:color="auto"/>
          </w:divBdr>
          <w:divsChild>
            <w:div w:id="382408936">
              <w:marLeft w:val="0"/>
              <w:marRight w:val="0"/>
              <w:marTop w:val="0"/>
              <w:marBottom w:val="0"/>
              <w:divBdr>
                <w:top w:val="none" w:sz="0" w:space="0" w:color="auto"/>
                <w:left w:val="none" w:sz="0" w:space="0" w:color="auto"/>
                <w:bottom w:val="none" w:sz="0" w:space="0" w:color="auto"/>
                <w:right w:val="none" w:sz="0" w:space="0" w:color="auto"/>
              </w:divBdr>
              <w:divsChild>
                <w:div w:id="1820069085">
                  <w:marLeft w:val="0"/>
                  <w:marRight w:val="0"/>
                  <w:marTop w:val="0"/>
                  <w:marBottom w:val="0"/>
                  <w:divBdr>
                    <w:top w:val="none" w:sz="0" w:space="0" w:color="auto"/>
                    <w:left w:val="none" w:sz="0" w:space="0" w:color="auto"/>
                    <w:bottom w:val="none" w:sz="0" w:space="0" w:color="auto"/>
                    <w:right w:val="none" w:sz="0" w:space="0" w:color="auto"/>
                  </w:divBdr>
                  <w:divsChild>
                    <w:div w:id="1880239717">
                      <w:marLeft w:val="0"/>
                      <w:marRight w:val="0"/>
                      <w:marTop w:val="0"/>
                      <w:marBottom w:val="225"/>
                      <w:divBdr>
                        <w:top w:val="single" w:sz="6" w:space="21" w:color="EDF2F7"/>
                        <w:left w:val="single" w:sz="6" w:space="11" w:color="EDF2F7"/>
                        <w:bottom w:val="single" w:sz="6" w:space="11" w:color="EDF2F7"/>
                        <w:right w:val="single" w:sz="6" w:space="11" w:color="EDF2F7"/>
                      </w:divBdr>
                      <w:divsChild>
                        <w:div w:id="59267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736471">
      <w:bodyDiv w:val="1"/>
      <w:marLeft w:val="0"/>
      <w:marRight w:val="0"/>
      <w:marTop w:val="0"/>
      <w:marBottom w:val="0"/>
      <w:divBdr>
        <w:top w:val="none" w:sz="0" w:space="0" w:color="auto"/>
        <w:left w:val="none" w:sz="0" w:space="0" w:color="auto"/>
        <w:bottom w:val="none" w:sz="0" w:space="0" w:color="auto"/>
        <w:right w:val="none" w:sz="0" w:space="0" w:color="auto"/>
      </w:divBdr>
    </w:div>
    <w:div w:id="944927265">
      <w:bodyDiv w:val="1"/>
      <w:marLeft w:val="0"/>
      <w:marRight w:val="0"/>
      <w:marTop w:val="0"/>
      <w:marBottom w:val="0"/>
      <w:divBdr>
        <w:top w:val="none" w:sz="0" w:space="0" w:color="auto"/>
        <w:left w:val="none" w:sz="0" w:space="0" w:color="auto"/>
        <w:bottom w:val="none" w:sz="0" w:space="0" w:color="auto"/>
        <w:right w:val="none" w:sz="0" w:space="0" w:color="auto"/>
      </w:divBdr>
    </w:div>
    <w:div w:id="1101726852">
      <w:bodyDiv w:val="1"/>
      <w:marLeft w:val="0"/>
      <w:marRight w:val="0"/>
      <w:marTop w:val="0"/>
      <w:marBottom w:val="0"/>
      <w:divBdr>
        <w:top w:val="none" w:sz="0" w:space="0" w:color="auto"/>
        <w:left w:val="none" w:sz="0" w:space="0" w:color="auto"/>
        <w:bottom w:val="none" w:sz="0" w:space="0" w:color="auto"/>
        <w:right w:val="none" w:sz="0" w:space="0" w:color="auto"/>
      </w:divBdr>
    </w:div>
    <w:div w:id="1124420145">
      <w:bodyDiv w:val="1"/>
      <w:marLeft w:val="0"/>
      <w:marRight w:val="0"/>
      <w:marTop w:val="0"/>
      <w:marBottom w:val="0"/>
      <w:divBdr>
        <w:top w:val="none" w:sz="0" w:space="0" w:color="auto"/>
        <w:left w:val="none" w:sz="0" w:space="0" w:color="auto"/>
        <w:bottom w:val="none" w:sz="0" w:space="0" w:color="auto"/>
        <w:right w:val="none" w:sz="0" w:space="0" w:color="auto"/>
      </w:divBdr>
    </w:div>
    <w:div w:id="1155994710">
      <w:bodyDiv w:val="1"/>
      <w:marLeft w:val="0"/>
      <w:marRight w:val="0"/>
      <w:marTop w:val="0"/>
      <w:marBottom w:val="0"/>
      <w:divBdr>
        <w:top w:val="none" w:sz="0" w:space="0" w:color="auto"/>
        <w:left w:val="none" w:sz="0" w:space="0" w:color="auto"/>
        <w:bottom w:val="none" w:sz="0" w:space="0" w:color="auto"/>
        <w:right w:val="none" w:sz="0" w:space="0" w:color="auto"/>
      </w:divBdr>
    </w:div>
    <w:div w:id="1243418807">
      <w:bodyDiv w:val="1"/>
      <w:marLeft w:val="0"/>
      <w:marRight w:val="0"/>
      <w:marTop w:val="0"/>
      <w:marBottom w:val="0"/>
      <w:divBdr>
        <w:top w:val="none" w:sz="0" w:space="0" w:color="auto"/>
        <w:left w:val="none" w:sz="0" w:space="0" w:color="auto"/>
        <w:bottom w:val="none" w:sz="0" w:space="0" w:color="auto"/>
        <w:right w:val="none" w:sz="0" w:space="0" w:color="auto"/>
      </w:divBdr>
      <w:divsChild>
        <w:div w:id="937256365">
          <w:marLeft w:val="0"/>
          <w:marRight w:val="0"/>
          <w:marTop w:val="100"/>
          <w:marBottom w:val="100"/>
          <w:divBdr>
            <w:top w:val="none" w:sz="0" w:space="0" w:color="auto"/>
            <w:left w:val="none" w:sz="0" w:space="0" w:color="auto"/>
            <w:bottom w:val="none" w:sz="0" w:space="0" w:color="auto"/>
            <w:right w:val="none" w:sz="0" w:space="0" w:color="auto"/>
          </w:divBdr>
          <w:divsChild>
            <w:div w:id="237447092">
              <w:marLeft w:val="0"/>
              <w:marRight w:val="0"/>
              <w:marTop w:val="0"/>
              <w:marBottom w:val="0"/>
              <w:divBdr>
                <w:top w:val="none" w:sz="0" w:space="0" w:color="auto"/>
                <w:left w:val="none" w:sz="0" w:space="0" w:color="auto"/>
                <w:bottom w:val="none" w:sz="0" w:space="0" w:color="auto"/>
                <w:right w:val="none" w:sz="0" w:space="0" w:color="auto"/>
              </w:divBdr>
              <w:divsChild>
                <w:div w:id="729770739">
                  <w:marLeft w:val="0"/>
                  <w:marRight w:val="0"/>
                  <w:marTop w:val="0"/>
                  <w:marBottom w:val="0"/>
                  <w:divBdr>
                    <w:top w:val="none" w:sz="0" w:space="0" w:color="auto"/>
                    <w:left w:val="none" w:sz="0" w:space="0" w:color="auto"/>
                    <w:bottom w:val="none" w:sz="0" w:space="0" w:color="auto"/>
                    <w:right w:val="none" w:sz="0" w:space="0" w:color="auto"/>
                  </w:divBdr>
                  <w:divsChild>
                    <w:div w:id="203295726">
                      <w:marLeft w:val="0"/>
                      <w:marRight w:val="0"/>
                      <w:marTop w:val="0"/>
                      <w:marBottom w:val="225"/>
                      <w:divBdr>
                        <w:top w:val="single" w:sz="6" w:space="21" w:color="EDF2F7"/>
                        <w:left w:val="single" w:sz="6" w:space="11" w:color="EDF2F7"/>
                        <w:bottom w:val="single" w:sz="6" w:space="11" w:color="EDF2F7"/>
                        <w:right w:val="single" w:sz="6" w:space="11" w:color="EDF2F7"/>
                      </w:divBdr>
                      <w:divsChild>
                        <w:div w:id="26477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2711329">
      <w:bodyDiv w:val="1"/>
      <w:marLeft w:val="0"/>
      <w:marRight w:val="0"/>
      <w:marTop w:val="0"/>
      <w:marBottom w:val="0"/>
      <w:divBdr>
        <w:top w:val="none" w:sz="0" w:space="0" w:color="auto"/>
        <w:left w:val="none" w:sz="0" w:space="0" w:color="auto"/>
        <w:bottom w:val="none" w:sz="0" w:space="0" w:color="auto"/>
        <w:right w:val="none" w:sz="0" w:space="0" w:color="auto"/>
      </w:divBdr>
    </w:div>
    <w:div w:id="1482691215">
      <w:bodyDiv w:val="1"/>
      <w:marLeft w:val="0"/>
      <w:marRight w:val="0"/>
      <w:marTop w:val="0"/>
      <w:marBottom w:val="0"/>
      <w:divBdr>
        <w:top w:val="none" w:sz="0" w:space="0" w:color="auto"/>
        <w:left w:val="none" w:sz="0" w:space="0" w:color="auto"/>
        <w:bottom w:val="none" w:sz="0" w:space="0" w:color="auto"/>
        <w:right w:val="none" w:sz="0" w:space="0" w:color="auto"/>
      </w:divBdr>
    </w:div>
    <w:div w:id="1511526223">
      <w:bodyDiv w:val="1"/>
      <w:marLeft w:val="0"/>
      <w:marRight w:val="0"/>
      <w:marTop w:val="0"/>
      <w:marBottom w:val="0"/>
      <w:divBdr>
        <w:top w:val="none" w:sz="0" w:space="0" w:color="auto"/>
        <w:left w:val="none" w:sz="0" w:space="0" w:color="auto"/>
        <w:bottom w:val="none" w:sz="0" w:space="0" w:color="auto"/>
        <w:right w:val="none" w:sz="0" w:space="0" w:color="auto"/>
      </w:divBdr>
    </w:div>
    <w:div w:id="1635090392">
      <w:bodyDiv w:val="1"/>
      <w:marLeft w:val="0"/>
      <w:marRight w:val="0"/>
      <w:marTop w:val="0"/>
      <w:marBottom w:val="0"/>
      <w:divBdr>
        <w:top w:val="none" w:sz="0" w:space="0" w:color="auto"/>
        <w:left w:val="none" w:sz="0" w:space="0" w:color="auto"/>
        <w:bottom w:val="none" w:sz="0" w:space="0" w:color="auto"/>
        <w:right w:val="none" w:sz="0" w:space="0" w:color="auto"/>
      </w:divBdr>
    </w:div>
    <w:div w:id="1688019581">
      <w:bodyDiv w:val="1"/>
      <w:marLeft w:val="0"/>
      <w:marRight w:val="0"/>
      <w:marTop w:val="0"/>
      <w:marBottom w:val="0"/>
      <w:divBdr>
        <w:top w:val="none" w:sz="0" w:space="0" w:color="auto"/>
        <w:left w:val="none" w:sz="0" w:space="0" w:color="auto"/>
        <w:bottom w:val="none" w:sz="0" w:space="0" w:color="auto"/>
        <w:right w:val="none" w:sz="0" w:space="0" w:color="auto"/>
      </w:divBdr>
    </w:div>
    <w:div w:id="1693219792">
      <w:bodyDiv w:val="1"/>
      <w:marLeft w:val="0"/>
      <w:marRight w:val="0"/>
      <w:marTop w:val="0"/>
      <w:marBottom w:val="0"/>
      <w:divBdr>
        <w:top w:val="none" w:sz="0" w:space="0" w:color="auto"/>
        <w:left w:val="none" w:sz="0" w:space="0" w:color="auto"/>
        <w:bottom w:val="none" w:sz="0" w:space="0" w:color="auto"/>
        <w:right w:val="none" w:sz="0" w:space="0" w:color="auto"/>
      </w:divBdr>
    </w:div>
    <w:div w:id="1982996328">
      <w:bodyDiv w:val="1"/>
      <w:marLeft w:val="0"/>
      <w:marRight w:val="0"/>
      <w:marTop w:val="0"/>
      <w:marBottom w:val="0"/>
      <w:divBdr>
        <w:top w:val="none" w:sz="0" w:space="0" w:color="auto"/>
        <w:left w:val="none" w:sz="0" w:space="0" w:color="auto"/>
        <w:bottom w:val="none" w:sz="0" w:space="0" w:color="auto"/>
        <w:right w:val="none" w:sz="0" w:space="0" w:color="auto"/>
      </w:divBdr>
    </w:div>
    <w:div w:id="2084450485">
      <w:bodyDiv w:val="1"/>
      <w:marLeft w:val="0"/>
      <w:marRight w:val="0"/>
      <w:marTop w:val="0"/>
      <w:marBottom w:val="0"/>
      <w:divBdr>
        <w:top w:val="none" w:sz="0" w:space="0" w:color="auto"/>
        <w:left w:val="none" w:sz="0" w:space="0" w:color="auto"/>
        <w:bottom w:val="none" w:sz="0" w:space="0" w:color="auto"/>
        <w:right w:val="none" w:sz="0" w:space="0" w:color="auto"/>
      </w:divBdr>
      <w:divsChild>
        <w:div w:id="225265395">
          <w:marLeft w:val="0"/>
          <w:marRight w:val="0"/>
          <w:marTop w:val="100"/>
          <w:marBottom w:val="100"/>
          <w:divBdr>
            <w:top w:val="none" w:sz="0" w:space="0" w:color="auto"/>
            <w:left w:val="none" w:sz="0" w:space="0" w:color="auto"/>
            <w:bottom w:val="none" w:sz="0" w:space="0" w:color="auto"/>
            <w:right w:val="none" w:sz="0" w:space="0" w:color="auto"/>
          </w:divBdr>
          <w:divsChild>
            <w:div w:id="1835536432">
              <w:marLeft w:val="0"/>
              <w:marRight w:val="0"/>
              <w:marTop w:val="0"/>
              <w:marBottom w:val="0"/>
              <w:divBdr>
                <w:top w:val="none" w:sz="0" w:space="0" w:color="auto"/>
                <w:left w:val="none" w:sz="0" w:space="0" w:color="auto"/>
                <w:bottom w:val="none" w:sz="0" w:space="0" w:color="auto"/>
                <w:right w:val="none" w:sz="0" w:space="0" w:color="auto"/>
              </w:divBdr>
              <w:divsChild>
                <w:div w:id="1906260118">
                  <w:marLeft w:val="0"/>
                  <w:marRight w:val="0"/>
                  <w:marTop w:val="0"/>
                  <w:marBottom w:val="0"/>
                  <w:divBdr>
                    <w:top w:val="none" w:sz="0" w:space="0" w:color="auto"/>
                    <w:left w:val="none" w:sz="0" w:space="0" w:color="auto"/>
                    <w:bottom w:val="none" w:sz="0" w:space="0" w:color="auto"/>
                    <w:right w:val="none" w:sz="0" w:space="0" w:color="auto"/>
                  </w:divBdr>
                  <w:divsChild>
                    <w:div w:id="372004099">
                      <w:marLeft w:val="0"/>
                      <w:marRight w:val="0"/>
                      <w:marTop w:val="0"/>
                      <w:marBottom w:val="225"/>
                      <w:divBdr>
                        <w:top w:val="single" w:sz="6" w:space="21" w:color="EDF2F7"/>
                        <w:left w:val="single" w:sz="6" w:space="11" w:color="EDF2F7"/>
                        <w:bottom w:val="single" w:sz="6" w:space="11" w:color="EDF2F7"/>
                        <w:right w:val="single" w:sz="6" w:space="11" w:color="EDF2F7"/>
                      </w:divBdr>
                      <w:divsChild>
                        <w:div w:id="194815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olga.chadzenska@gpw.pl" TargetMode="External"/><Relationship Id="rId2" Type="http://schemas.openxmlformats.org/officeDocument/2006/relationships/hyperlink" Target="mailto:marta.grajeta@gpw.pl" TargetMode="External"/><Relationship Id="rId1" Type="http://schemas.openxmlformats.org/officeDocument/2006/relationships/hyperlink" Target="mailto:anna.wisniewska@gpw.pl" TargetMode="External"/><Relationship Id="rId4" Type="http://schemas.openxmlformats.org/officeDocument/2006/relationships/hyperlink" Target="mailto:martyna.makiel@gpw.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3</Pages>
  <Words>353</Words>
  <Characters>2120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GPW</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anna.wisniewska</dc:creator>
  <cp:keywords/>
  <dc:description/>
  <cp:lastModifiedBy>martyna.makiel</cp:lastModifiedBy>
  <cp:revision>13</cp:revision>
  <dcterms:created xsi:type="dcterms:W3CDTF">2012-07-06T08:28:00Z</dcterms:created>
  <dcterms:modified xsi:type="dcterms:W3CDTF">2012-07-12T12:22:00Z</dcterms:modified>
</cp:coreProperties>
</file>