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F0E0A" w14:textId="77777777" w:rsidR="001C6995" w:rsidRPr="00EB2A2A" w:rsidRDefault="001C6995" w:rsidP="001D5071">
      <w:pPr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</w:pPr>
      <w:bookmarkStart w:id="0" w:name="_GoBack"/>
      <w:bookmarkEnd w:id="0"/>
    </w:p>
    <w:p w14:paraId="2E4A5D4E" w14:textId="77777777" w:rsidR="00D93F24" w:rsidRPr="00EB2A2A" w:rsidRDefault="00F61D16" w:rsidP="00ED70DE">
      <w:pPr>
        <w:jc w:val="right"/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</w:pPr>
      <w:r w:rsidRPr="00EB2A2A"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  <w:t>Warsaw</w:t>
      </w:r>
      <w:r w:rsidR="00125D18" w:rsidRPr="00EB2A2A"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  <w:t xml:space="preserve">, </w:t>
      </w:r>
      <w:r w:rsidR="001D5071" w:rsidRPr="00EB2A2A"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  <w:t xml:space="preserve">25 </w:t>
      </w:r>
      <w:r w:rsidRPr="00EB2A2A"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  <w:t>February</w:t>
      </w:r>
      <w:r w:rsidR="001D5071" w:rsidRPr="00EB2A2A">
        <w:rPr>
          <w:rFonts w:ascii="Verdana" w:eastAsia="Times New Roman" w:hAnsi="Verdana" w:cs="Arial"/>
          <w:color w:val="666666"/>
          <w:sz w:val="20"/>
          <w:szCs w:val="20"/>
          <w:lang w:val="en-GB" w:eastAsia="pl-PL"/>
        </w:rPr>
        <w:t xml:space="preserve"> 2016</w:t>
      </w:r>
    </w:p>
    <w:p w14:paraId="75EA4CFE" w14:textId="77777777" w:rsidR="001D5071" w:rsidRPr="00EB2A2A" w:rsidRDefault="001D5071" w:rsidP="00253AC8">
      <w:pPr>
        <w:pStyle w:val="NormalWeb"/>
        <w:shd w:val="clear" w:color="auto" w:fill="FFFFFF"/>
        <w:spacing w:after="150"/>
        <w:rPr>
          <w:rFonts w:ascii="Verdana" w:eastAsiaTheme="minorHAnsi" w:hAnsi="Verdana"/>
          <w:b/>
          <w:bCs/>
          <w:color w:val="5B9BD5" w:themeColor="accent1"/>
          <w:sz w:val="24"/>
          <w:szCs w:val="24"/>
          <w:lang w:val="en-GB"/>
        </w:rPr>
      </w:pPr>
    </w:p>
    <w:p w14:paraId="389891B1" w14:textId="77777777" w:rsidR="00253AC8" w:rsidRPr="00EB2A2A" w:rsidRDefault="00253AC8" w:rsidP="00253AC8">
      <w:pPr>
        <w:pStyle w:val="NormalWeb"/>
        <w:shd w:val="clear" w:color="auto" w:fill="FFFFFF"/>
        <w:spacing w:after="150"/>
        <w:rPr>
          <w:rFonts w:ascii="Verdana" w:eastAsiaTheme="minorHAnsi" w:hAnsi="Verdana"/>
          <w:b/>
          <w:bCs/>
          <w:color w:val="5B9BD5" w:themeColor="accent1"/>
          <w:sz w:val="24"/>
          <w:szCs w:val="24"/>
          <w:lang w:val="en-GB"/>
        </w:rPr>
      </w:pPr>
    </w:p>
    <w:p w14:paraId="5019F443" w14:textId="77777777" w:rsidR="00821A69" w:rsidRPr="00EB2A2A" w:rsidRDefault="006032C2" w:rsidP="00A4319B">
      <w:pPr>
        <w:jc w:val="center"/>
        <w:rPr>
          <w:rFonts w:ascii="Verdana" w:eastAsia="Calibri" w:hAnsi="Verdana" w:cs="Arial"/>
          <w:b/>
          <w:color w:val="5B9BD5" w:themeColor="accent1"/>
          <w:sz w:val="24"/>
          <w:szCs w:val="24"/>
          <w:lang w:val="en-GB"/>
        </w:rPr>
      </w:pPr>
      <w:r w:rsidRPr="00EB2A2A">
        <w:rPr>
          <w:rFonts w:ascii="Verdana" w:eastAsia="Calibri" w:hAnsi="Verdana" w:cs="Arial"/>
          <w:b/>
          <w:color w:val="5B9BD5" w:themeColor="accent1"/>
          <w:sz w:val="24"/>
          <w:szCs w:val="24"/>
          <w:lang w:val="en-GB"/>
        </w:rPr>
        <w:t>Share of Investors in Financial Instrument Trade</w:t>
      </w:r>
      <w:r w:rsidRPr="00EB2A2A">
        <w:rPr>
          <w:rFonts w:ascii="Verdana" w:eastAsia="Calibri" w:hAnsi="Verdana" w:cs="Arial"/>
          <w:b/>
          <w:color w:val="5B9BD5" w:themeColor="accent1"/>
          <w:sz w:val="24"/>
          <w:szCs w:val="24"/>
          <w:lang w:val="en-GB"/>
        </w:rPr>
        <w:br/>
        <w:t>on GPW in 2015</w:t>
      </w:r>
    </w:p>
    <w:p w14:paraId="0EBC9AB1" w14:textId="77777777" w:rsidR="00D93F24" w:rsidRPr="00EB2A2A" w:rsidRDefault="00D93F24" w:rsidP="001C6995">
      <w:pPr>
        <w:pStyle w:val="NormalWeb"/>
        <w:shd w:val="clear" w:color="auto" w:fill="FFFFFF"/>
        <w:spacing w:after="150" w:line="240" w:lineRule="atLeast"/>
        <w:jc w:val="center"/>
        <w:rPr>
          <w:rStyle w:val="Emphasis"/>
          <w:rFonts w:ascii="Verdana" w:hAnsi="Verdana" w:cs="Arial"/>
          <w:sz w:val="20"/>
          <w:szCs w:val="20"/>
          <w:lang w:val="en-GB"/>
        </w:rPr>
      </w:pPr>
    </w:p>
    <w:p w14:paraId="74871E70" w14:textId="77777777" w:rsidR="00810216" w:rsidRPr="00EB2A2A" w:rsidRDefault="006032C2" w:rsidP="00810216">
      <w:pPr>
        <w:pStyle w:val="NormalWeb"/>
        <w:shd w:val="clear" w:color="auto" w:fill="FFFFFF"/>
        <w:spacing w:after="150" w:line="240" w:lineRule="atLeast"/>
        <w:jc w:val="center"/>
        <w:rPr>
          <w:rStyle w:val="Emphasis"/>
          <w:rFonts w:ascii="Verdana" w:hAnsi="Verdana" w:cs="Arial"/>
          <w:sz w:val="20"/>
          <w:szCs w:val="20"/>
          <w:lang w:val="en-GB"/>
        </w:rPr>
      </w:pPr>
      <w:r w:rsidRPr="00EB2A2A">
        <w:rPr>
          <w:rStyle w:val="Emphasis"/>
          <w:rFonts w:ascii="Verdana" w:hAnsi="Verdana" w:cs="Arial"/>
          <w:sz w:val="20"/>
          <w:szCs w:val="20"/>
          <w:lang w:val="en-GB"/>
        </w:rPr>
        <w:t>PRESS RELEASE</w:t>
      </w:r>
    </w:p>
    <w:p w14:paraId="7EA799FB" w14:textId="77777777" w:rsidR="000C3818" w:rsidRPr="00EB2A2A" w:rsidRDefault="000C3818" w:rsidP="00046634">
      <w:pPr>
        <w:pStyle w:val="ListParagraph"/>
        <w:spacing w:line="288" w:lineRule="auto"/>
        <w:ind w:left="714" w:hanging="357"/>
        <w:jc w:val="both"/>
        <w:rPr>
          <w:rFonts w:cs="Arial"/>
          <w:b/>
          <w:color w:val="595959" w:themeColor="text1" w:themeTint="A6"/>
          <w:sz w:val="20"/>
          <w:szCs w:val="18"/>
          <w:lang w:val="en-GB"/>
        </w:rPr>
      </w:pPr>
    </w:p>
    <w:p w14:paraId="79B53422" w14:textId="1ECFFBF0" w:rsidR="00B769E1" w:rsidRPr="00EB2A2A" w:rsidRDefault="00B769E1" w:rsidP="00E559BD">
      <w:pPr>
        <w:pStyle w:val="ListParagraph"/>
        <w:numPr>
          <w:ilvl w:val="0"/>
          <w:numId w:val="7"/>
        </w:numPr>
        <w:spacing w:line="276" w:lineRule="auto"/>
        <w:ind w:left="709"/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</w:pPr>
      <w:r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>Foreign investors generated 52% of trade in shares on the Main Market in 2015</w:t>
      </w:r>
      <w:r w:rsidR="0077717F"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br/>
      </w:r>
      <w:r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>(+3 percentage points YoY), institutional investors 36% (-2 percentage points YoY)</w:t>
      </w:r>
      <w:r w:rsidR="00931893"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>,</w:t>
      </w:r>
      <w:r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 xml:space="preserve"> and individual investors 12% (-1 percentage point YoY)</w:t>
      </w:r>
    </w:p>
    <w:p w14:paraId="43DA5ABA" w14:textId="647DED16" w:rsidR="00B769E1" w:rsidRPr="00EB2A2A" w:rsidRDefault="00B769E1" w:rsidP="00E559BD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</w:pPr>
      <w:r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>Individual investors remained in the lead on NewConnect and generated 75% of trade (+5 percentage points YoY); the share of institutional investors in trade on NewConnect was 19% (-4 percentage points YoY), and the share of foreign investors 6% (-1 percentage point YoY)</w:t>
      </w:r>
    </w:p>
    <w:p w14:paraId="4DFD522A" w14:textId="4DADB213" w:rsidR="00B769E1" w:rsidRPr="00EB2A2A" w:rsidRDefault="00B769E1" w:rsidP="00E559BD">
      <w:pPr>
        <w:pStyle w:val="ListParagraph"/>
        <w:numPr>
          <w:ilvl w:val="0"/>
          <w:numId w:val="7"/>
        </w:numPr>
        <w:spacing w:line="276" w:lineRule="auto"/>
        <w:ind w:left="720"/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</w:pPr>
      <w:r>
        <w:rPr>
          <w:rFonts w:ascii="Verdana" w:hAnsi="Verdana" w:cs="Arial"/>
          <w:b/>
          <w:color w:val="595959" w:themeColor="text1" w:themeTint="A6"/>
          <w:sz w:val="18"/>
          <w:szCs w:val="18"/>
          <w:lang w:val="en-GB"/>
        </w:rPr>
        <w:t>Domestic individual investors remained in the lead on the derivatives market in 2015</w:t>
      </w:r>
    </w:p>
    <w:p w14:paraId="621664A6" w14:textId="58DAAF1F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b/>
          <w:color w:val="666666"/>
          <w:sz w:val="20"/>
          <w:szCs w:val="20"/>
          <w:lang w:val="en-GB"/>
        </w:rPr>
        <w:br/>
        <w:t>GPW</w:t>
      </w:r>
      <w:r w:rsidR="006032C2" w:rsidRPr="00EB2A2A">
        <w:rPr>
          <w:rFonts w:ascii="Verdana" w:eastAsia="Calibri" w:hAnsi="Verdana"/>
          <w:b/>
          <w:color w:val="666666"/>
          <w:sz w:val="20"/>
          <w:szCs w:val="20"/>
          <w:lang w:val="en-GB"/>
        </w:rPr>
        <w:t xml:space="preserve"> Main Market</w:t>
      </w:r>
    </w:p>
    <w:p w14:paraId="10201D48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739B86D6" w14:textId="3BBE917C" w:rsidR="006032C2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>Foreign investors generated the biggest part of trade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 shares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on the GPW Main Market in 2015, similar to pre</w:t>
      </w:r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>vious years. They contributed 52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of trade in equities in 2015, </w:t>
      </w:r>
      <w:r w:rsidR="0077717F">
        <w:rPr>
          <w:rFonts w:ascii="Verdana" w:eastAsia="Calibri" w:hAnsi="Verdana"/>
          <w:color w:val="666666"/>
          <w:sz w:val="20"/>
          <w:szCs w:val="20"/>
          <w:lang w:val="en-GB"/>
        </w:rPr>
        <w:t>an increase</w:t>
      </w:r>
      <w:r w:rsidR="0077717F">
        <w:rPr>
          <w:rFonts w:ascii="Verdana" w:eastAsia="Calibri" w:hAnsi="Verdana"/>
          <w:color w:val="666666"/>
          <w:sz w:val="20"/>
          <w:szCs w:val="20"/>
          <w:lang w:val="en-GB"/>
        </w:rPr>
        <w:br/>
      </w:r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of 3 percentage </w:t>
      </w:r>
      <w:proofErr w:type="gramStart"/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>points</w:t>
      </w:r>
      <w:proofErr w:type="gramEnd"/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year on year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>.</w:t>
      </w:r>
    </w:p>
    <w:p w14:paraId="3090B348" w14:textId="77777777" w:rsidR="00923056" w:rsidRPr="00EB2A2A" w:rsidRDefault="0092305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7848C419" w14:textId="280F1913" w:rsidR="006032C2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Domestic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institutional investors generated 36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of trade in 2015, i.e.,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2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percentage point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s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less than in 2014.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I</w:t>
      </w:r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>nvestment funds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were the leading grou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p of domestic institutions in H2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2015 (35%), followed by</w:t>
      </w:r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m</w:t>
      </w:r>
      <w:r w:rsidR="00EB2A2A" w:rsidRPr="00EB2A2A">
        <w:rPr>
          <w:rFonts w:ascii="Verdana" w:eastAsia="Calibri" w:hAnsi="Verdana"/>
          <w:color w:val="666666"/>
          <w:sz w:val="20"/>
          <w:szCs w:val="20"/>
          <w:lang w:val="en-GB"/>
        </w:rPr>
        <w:t>arket makers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(33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%) and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pension funds (15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>%).</w:t>
      </w:r>
    </w:p>
    <w:p w14:paraId="1A97ECD8" w14:textId="77777777" w:rsidR="00923056" w:rsidRPr="00EB2A2A" w:rsidRDefault="0092305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4A91C377" w14:textId="3B34A243" w:rsidR="006032C2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The share of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individual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investors in trade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was 12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in all of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2015 (down by 1 percentage point year on year), which corroborates a downtrend 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prevailing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over the past years, although its dynamics slowed down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. </w:t>
      </w:r>
    </w:p>
    <w:p w14:paraId="55047C7A" w14:textId="77777777" w:rsidR="00F03B06" w:rsidRPr="00EB2A2A" w:rsidRDefault="00F03B0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282842C4" w14:textId="0C3592E4" w:rsidR="001D5071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proofErr w:type="gramStart"/>
      <w:r w:rsidRPr="00EB2A2A">
        <w:rPr>
          <w:rFonts w:ascii="Verdana" w:eastAsia="Calibri" w:hAnsi="Verdana"/>
          <w:b/>
          <w:color w:val="666666"/>
          <w:sz w:val="20"/>
          <w:szCs w:val="20"/>
          <w:lang w:val="en-GB"/>
        </w:rPr>
        <w:t>Table 1.</w:t>
      </w:r>
      <w:proofErr w:type="gramEnd"/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 structure on the Main Market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 shares</w:t>
      </w:r>
    </w:p>
    <w:p w14:paraId="2B962901" w14:textId="77777777" w:rsidR="004E40D6" w:rsidRPr="00EB2A2A" w:rsidRDefault="004E40D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3AAFD000" w14:textId="77777777" w:rsidR="001D5071" w:rsidRPr="00EB2A2A" w:rsidRDefault="00656617" w:rsidP="00F1729F">
      <w:pPr>
        <w:spacing w:line="276" w:lineRule="auto"/>
        <w:jc w:val="center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noProof/>
          <w:lang w:val="en-GB" w:eastAsia="en-GB"/>
        </w:rPr>
        <w:drawing>
          <wp:inline distT="0" distB="0" distL="0" distR="0" wp14:anchorId="5C7E5685" wp14:editId="75CA1D88">
            <wp:extent cx="3238500" cy="187452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CB522A" w14:textId="77777777" w:rsidR="000878EC" w:rsidRPr="00EB2A2A" w:rsidRDefault="000878EC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</w:p>
    <w:p w14:paraId="641BD7A4" w14:textId="3CC90737" w:rsidR="004E40D6" w:rsidRPr="00EB2A2A" w:rsidRDefault="006032C2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  <w:r w:rsidRPr="00EB2A2A">
        <w:rPr>
          <w:rFonts w:ascii="Verdana" w:eastAsia="Calibri" w:hAnsi="Verdana"/>
          <w:i/>
          <w:color w:val="666666"/>
          <w:sz w:val="16"/>
          <w:szCs w:val="16"/>
          <w:lang w:val="en-GB"/>
        </w:rPr>
        <w:t>Source: GPW survey of investment firms, estimates</w:t>
      </w:r>
    </w:p>
    <w:p w14:paraId="1B2CAC3C" w14:textId="77777777" w:rsidR="000878EC" w:rsidRPr="00EB2A2A" w:rsidRDefault="000878EC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18E01BAA" w14:textId="77777777" w:rsidR="0077717F" w:rsidRDefault="0077717F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68920586" w14:textId="77777777" w:rsidR="0077717F" w:rsidRDefault="0077717F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1BD844BA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20"/>
          <w:szCs w:val="20"/>
          <w:lang w:val="en-GB"/>
        </w:rPr>
      </w:pPr>
      <w:proofErr w:type="spellStart"/>
      <w:r w:rsidRPr="00EB2A2A">
        <w:rPr>
          <w:rFonts w:ascii="Verdana" w:eastAsia="Calibri" w:hAnsi="Verdana"/>
          <w:b/>
          <w:color w:val="666666"/>
          <w:sz w:val="20"/>
          <w:szCs w:val="20"/>
          <w:lang w:val="en-GB"/>
        </w:rPr>
        <w:lastRenderedPageBreak/>
        <w:t>NewConnect</w:t>
      </w:r>
      <w:proofErr w:type="spellEnd"/>
    </w:p>
    <w:p w14:paraId="52D15F9F" w14:textId="77777777" w:rsidR="00506E76" w:rsidRPr="00EB2A2A" w:rsidRDefault="00506E76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20"/>
          <w:szCs w:val="20"/>
          <w:lang w:val="en-GB"/>
        </w:rPr>
      </w:pPr>
    </w:p>
    <w:p w14:paraId="65C4DD6E" w14:textId="71F2B232" w:rsidR="006032C2" w:rsidRPr="00EB2A2A" w:rsidRDefault="006032C2" w:rsidP="00EB2A2A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On NewConnect,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individual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investors remai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ned in the lead and generated 75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of trade in 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2015,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an increase of 5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percentage </w:t>
      </w:r>
      <w:proofErr w:type="gramStart"/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>points</w:t>
      </w:r>
      <w:proofErr w:type="gramEnd"/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year on year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. The share of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foreign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investors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in trade 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on NewConnect 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was 6%. The share of domestic institutions in trade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on the mark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>et at 19%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 2015 decreased by 4 percentage </w:t>
      </w:r>
      <w:proofErr w:type="gramStart"/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points</w:t>
      </w:r>
      <w:proofErr w:type="gramEnd"/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year on year.</w:t>
      </w:r>
      <w:r w:rsid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AC1493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Firms 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were the leading group of institutions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and accounted for 56</w:t>
      </w:r>
      <w:r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of trade in equities on NewConnect in H2 2015. </w:t>
      </w:r>
      <w:r w:rsidR="00AC1493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Investment funds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were in the lead in 2014. Pension funds further reduced their investments on NewConnect and accounted for 1% of trade of all institutions (2% in H1 2015).</w:t>
      </w:r>
    </w:p>
    <w:p w14:paraId="4C6FC157" w14:textId="77777777" w:rsidR="00BF3F86" w:rsidRPr="00EB2A2A" w:rsidRDefault="00BF3F8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76591486" w14:textId="06AB13B1" w:rsidR="001D5071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proofErr w:type="gramStart"/>
      <w:r w:rsidRPr="0012247F">
        <w:rPr>
          <w:rFonts w:ascii="Verdana" w:eastAsia="Calibri" w:hAnsi="Verdana"/>
          <w:b/>
          <w:color w:val="666666"/>
          <w:sz w:val="20"/>
          <w:szCs w:val="20"/>
          <w:lang w:val="en-GB"/>
        </w:rPr>
        <w:t>Table 2.</w:t>
      </w:r>
      <w:proofErr w:type="gramEnd"/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 structure on NewConnect</w:t>
      </w:r>
    </w:p>
    <w:p w14:paraId="5275446D" w14:textId="77777777" w:rsidR="004E40D6" w:rsidRPr="00EB2A2A" w:rsidRDefault="004E40D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77CEEB3A" w14:textId="77777777" w:rsidR="001D5071" w:rsidRPr="00EB2A2A" w:rsidRDefault="00656617" w:rsidP="007844CA">
      <w:pPr>
        <w:spacing w:line="276" w:lineRule="auto"/>
        <w:jc w:val="center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noProof/>
          <w:lang w:val="en-GB" w:eastAsia="en-GB"/>
        </w:rPr>
        <w:drawing>
          <wp:inline distT="0" distB="0" distL="0" distR="0" wp14:anchorId="65DBD5DA" wp14:editId="3DA7F851">
            <wp:extent cx="3185160" cy="179832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C80E1EA" w14:textId="77777777" w:rsidR="0077717F" w:rsidRDefault="0077717F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</w:p>
    <w:p w14:paraId="582303E9" w14:textId="73ADDE33" w:rsidR="001D5071" w:rsidRPr="00EB2A2A" w:rsidRDefault="00EB2A2A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  <w:r w:rsidRPr="00EB2A2A">
        <w:rPr>
          <w:rFonts w:ascii="Verdana" w:eastAsia="Calibri" w:hAnsi="Verdana"/>
          <w:i/>
          <w:color w:val="666666"/>
          <w:sz w:val="16"/>
          <w:szCs w:val="16"/>
          <w:lang w:val="en-GB"/>
        </w:rPr>
        <w:t>Source: GPW survey of investment firms, estimates</w:t>
      </w:r>
    </w:p>
    <w:p w14:paraId="5259D497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5B3D819E" w14:textId="5D20667E" w:rsidR="001D5071" w:rsidRPr="00EB2A2A" w:rsidRDefault="006032C2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  <w:r w:rsidRPr="00AC1493">
        <w:rPr>
          <w:rFonts w:ascii="Verdana" w:eastAsia="Calibri" w:hAnsi="Verdana"/>
          <w:b/>
          <w:color w:val="666666"/>
          <w:sz w:val="20"/>
          <w:szCs w:val="20"/>
          <w:lang w:val="en-GB"/>
        </w:rPr>
        <w:t>Derivatives Market</w:t>
      </w:r>
    </w:p>
    <w:p w14:paraId="61A25F4A" w14:textId="77777777" w:rsidR="008A376B" w:rsidRPr="00EB2A2A" w:rsidRDefault="008A376B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6EB1FCFB" w14:textId="132BCF70" w:rsidR="006032C2" w:rsidRPr="00AC1493" w:rsidRDefault="006032C2" w:rsidP="00AC1493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Domestic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individual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investors were in the lead also on the derivatives market in 2015. Their share in tr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ade on the futures market was 47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% (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an in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crease of 1 percentage point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year on year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). Their share in trade on the option market was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47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%. Domestic institutions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and foreign investors 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generated 38% and 15%, respectively, of trade in futures in 2015. Foreign investors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generated 12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% of trade in options while the share of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domestic institutions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 the trade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was 41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%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 2015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.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It should be noted that the share in</w:t>
      </w:r>
      <w:r w:rsidR="0012247F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the trade in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futures includes trade in all types of futures: index futures, currency futures, single-stock futures, WIBOR futures, and bond futures.</w:t>
      </w:r>
    </w:p>
    <w:p w14:paraId="3D432B69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54E5294B" w14:textId="12C1C173" w:rsidR="001D5071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proofErr w:type="gramStart"/>
      <w:r w:rsidRPr="0012247F">
        <w:rPr>
          <w:rFonts w:ascii="Verdana" w:eastAsia="Calibri" w:hAnsi="Verdana"/>
          <w:b/>
          <w:color w:val="666666"/>
          <w:sz w:val="20"/>
          <w:szCs w:val="20"/>
          <w:lang w:val="en-GB"/>
        </w:rPr>
        <w:t>Table 3.</w:t>
      </w:r>
      <w:proofErr w:type="gramEnd"/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 structure on the futures market</w:t>
      </w:r>
    </w:p>
    <w:p w14:paraId="766E0D64" w14:textId="77777777" w:rsidR="000878EC" w:rsidRPr="00EB2A2A" w:rsidRDefault="000878EC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7704ABC9" w14:textId="77777777" w:rsidR="00656617" w:rsidRPr="00EB2A2A" w:rsidRDefault="00656617" w:rsidP="007844CA">
      <w:pPr>
        <w:spacing w:line="276" w:lineRule="auto"/>
        <w:jc w:val="center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noProof/>
          <w:lang w:val="en-GB" w:eastAsia="en-GB"/>
        </w:rPr>
        <w:drawing>
          <wp:inline distT="0" distB="0" distL="0" distR="0" wp14:anchorId="6FEE1962" wp14:editId="1C50BC44">
            <wp:extent cx="3009900" cy="168402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EACB6F" w14:textId="77777777" w:rsidR="0077717F" w:rsidRDefault="0077717F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</w:p>
    <w:p w14:paraId="093F44F8" w14:textId="5064A7FA" w:rsidR="001D5071" w:rsidRPr="00EB2A2A" w:rsidRDefault="00EB2A2A" w:rsidP="001D5071">
      <w:pPr>
        <w:spacing w:line="276" w:lineRule="auto"/>
        <w:jc w:val="both"/>
        <w:rPr>
          <w:rFonts w:ascii="Verdana" w:eastAsia="Calibri" w:hAnsi="Verdana"/>
          <w:color w:val="666666"/>
          <w:sz w:val="16"/>
          <w:szCs w:val="16"/>
          <w:lang w:val="en-GB"/>
        </w:rPr>
      </w:pPr>
      <w:r w:rsidRPr="00EB2A2A">
        <w:rPr>
          <w:rFonts w:ascii="Verdana" w:eastAsia="Calibri" w:hAnsi="Verdana"/>
          <w:i/>
          <w:color w:val="666666"/>
          <w:sz w:val="16"/>
          <w:szCs w:val="16"/>
          <w:lang w:val="en-GB"/>
        </w:rPr>
        <w:t>Source: GPW survey of investment firms, estimates</w:t>
      </w:r>
    </w:p>
    <w:p w14:paraId="5B4596D0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b/>
          <w:color w:val="666666"/>
          <w:sz w:val="20"/>
          <w:szCs w:val="20"/>
          <w:lang w:val="en-GB"/>
        </w:rPr>
      </w:pPr>
    </w:p>
    <w:p w14:paraId="17B796A9" w14:textId="2E271060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EB2A2A">
        <w:rPr>
          <w:rFonts w:ascii="Verdana" w:eastAsia="Calibri" w:hAnsi="Verdana"/>
          <w:b/>
          <w:color w:val="666666"/>
          <w:sz w:val="20"/>
          <w:szCs w:val="20"/>
          <w:lang w:val="en-GB"/>
        </w:rPr>
        <w:br/>
      </w:r>
      <w:proofErr w:type="gramStart"/>
      <w:r w:rsidR="006032C2" w:rsidRPr="0012247F">
        <w:rPr>
          <w:rFonts w:ascii="Verdana" w:eastAsia="Calibri" w:hAnsi="Verdana"/>
          <w:b/>
          <w:color w:val="666666"/>
          <w:sz w:val="20"/>
          <w:szCs w:val="20"/>
          <w:lang w:val="en-GB"/>
        </w:rPr>
        <w:t>Table 4.</w:t>
      </w:r>
      <w:proofErr w:type="gramEnd"/>
      <w:r w:rsidR="006032C2"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 structure on the option market</w:t>
      </w:r>
    </w:p>
    <w:p w14:paraId="791B96DA" w14:textId="77777777" w:rsidR="004E40D6" w:rsidRPr="00EB2A2A" w:rsidRDefault="004E40D6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327711A6" w14:textId="77777777" w:rsidR="001D5071" w:rsidRPr="00EB2A2A" w:rsidRDefault="00656617" w:rsidP="007844CA">
      <w:pPr>
        <w:spacing w:line="276" w:lineRule="auto"/>
        <w:jc w:val="center"/>
        <w:rPr>
          <w:rFonts w:ascii="Verdana" w:eastAsia="Calibri" w:hAnsi="Verdana"/>
          <w:i/>
          <w:color w:val="666666"/>
          <w:sz w:val="20"/>
          <w:szCs w:val="20"/>
          <w:lang w:val="en-GB"/>
        </w:rPr>
      </w:pPr>
      <w:r w:rsidRPr="00EB2A2A">
        <w:rPr>
          <w:noProof/>
          <w:lang w:val="en-GB" w:eastAsia="en-GB"/>
        </w:rPr>
        <w:drawing>
          <wp:inline distT="0" distB="0" distL="0" distR="0" wp14:anchorId="60533353" wp14:editId="72E4E0F3">
            <wp:extent cx="3093720" cy="17145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ECC8E0" w14:textId="77777777" w:rsidR="001C66C5" w:rsidRPr="00EB2A2A" w:rsidRDefault="001C66C5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</w:p>
    <w:p w14:paraId="42E2FC5C" w14:textId="7F3CEA6B" w:rsidR="001D5071" w:rsidRDefault="00EB2A2A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  <w:r w:rsidRPr="00EB2A2A">
        <w:rPr>
          <w:rFonts w:ascii="Verdana" w:eastAsia="Calibri" w:hAnsi="Verdana"/>
          <w:i/>
          <w:color w:val="666666"/>
          <w:sz w:val="16"/>
          <w:szCs w:val="16"/>
          <w:lang w:val="en-GB"/>
        </w:rPr>
        <w:t>Source: GPW survey of investment firms, estimates</w:t>
      </w:r>
    </w:p>
    <w:p w14:paraId="7E8B2E6C" w14:textId="77777777" w:rsidR="0077717F" w:rsidRPr="00EB2A2A" w:rsidRDefault="0077717F" w:rsidP="001D5071">
      <w:pPr>
        <w:spacing w:line="276" w:lineRule="auto"/>
        <w:jc w:val="both"/>
        <w:rPr>
          <w:rFonts w:ascii="Verdana" w:eastAsia="Calibri" w:hAnsi="Verdana"/>
          <w:i/>
          <w:color w:val="666666"/>
          <w:sz w:val="16"/>
          <w:szCs w:val="16"/>
          <w:lang w:val="en-GB"/>
        </w:rPr>
      </w:pPr>
    </w:p>
    <w:p w14:paraId="06731569" w14:textId="4601EC30" w:rsidR="006032C2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The detailed results of the survey concerning the share of investors in trade in financial instruments are published on the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GPW 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website</w:t>
      </w:r>
      <w:r w:rsidR="00AC1493" w:rsidRPr="00EB2A2A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hyperlink r:id="rId13" w:history="1">
        <w:r w:rsidR="00AC1493" w:rsidRPr="00EB2A2A">
          <w:rPr>
            <w:rStyle w:val="Hyperlink"/>
            <w:rFonts w:ascii="Verdana" w:eastAsia="Calibri" w:hAnsi="Verdana"/>
            <w:sz w:val="20"/>
            <w:szCs w:val="20"/>
            <w:lang w:val="en-GB"/>
          </w:rPr>
          <w:t>http://www.gpw.pl/analizy</w:t>
        </w:r>
      </w:hyperlink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.</w:t>
      </w:r>
    </w:p>
    <w:p w14:paraId="080905D6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503D6C75" w14:textId="525E76E3" w:rsidR="006032C2" w:rsidRPr="00EB2A2A" w:rsidRDefault="006032C2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GPW conducted a survey of the share of different investor groups (foreign investors, domestic institutional investors, </w:t>
      </w:r>
      <w:proofErr w:type="gramStart"/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domestic</w:t>
      </w:r>
      <w:proofErr w:type="gramEnd"/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individual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investors) in trade in financial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instruments on the market in H2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2015. Accord</w:t>
      </w:r>
      <w:r w:rsidR="00AC1493">
        <w:rPr>
          <w:rFonts w:ascii="Verdana" w:eastAsia="Calibri" w:hAnsi="Verdana"/>
          <w:color w:val="666666"/>
          <w:sz w:val="20"/>
          <w:szCs w:val="20"/>
          <w:lang w:val="en-GB"/>
        </w:rPr>
        <w:t>ing to the applied methodology,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the share of each investor group is based on the results of a survey of domestic brokerage houses </w:t>
      </w:r>
      <w:r w:rsidR="00C47792">
        <w:rPr>
          <w:rFonts w:ascii="Verdana" w:eastAsia="Calibri" w:hAnsi="Verdana"/>
          <w:color w:val="666666"/>
          <w:sz w:val="20"/>
          <w:szCs w:val="20"/>
          <w:lang w:val="en-GB"/>
        </w:rPr>
        <w:t>as well as</w:t>
      </w:r>
      <w:r w:rsidR="00B769E1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trade </w:t>
      </w:r>
      <w:r w:rsidR="00C47792">
        <w:rPr>
          <w:rFonts w:ascii="Verdana" w:eastAsia="Calibri" w:hAnsi="Verdana"/>
          <w:color w:val="666666"/>
          <w:sz w:val="20"/>
          <w:szCs w:val="20"/>
          <w:lang w:val="en-GB"/>
        </w:rPr>
        <w:t>statistics</w:t>
      </w:r>
      <w:r w:rsidR="00B769E1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of remote exchange members</w:t>
      </w:r>
      <w:r w:rsidRPr="00AC1493">
        <w:rPr>
          <w:rFonts w:ascii="Verdana" w:eastAsia="Calibri" w:hAnsi="Verdana"/>
          <w:color w:val="666666"/>
          <w:sz w:val="20"/>
          <w:szCs w:val="20"/>
          <w:lang w:val="en-GB"/>
        </w:rPr>
        <w:t>. The activity of market makers and management of clients’ portfolios were included in the category of domestic institutional investors. The survey covered trade on the GPW Electronic Order Book.</w:t>
      </w:r>
      <w:r w:rsidR="00B769E1" w:rsidRPr="00B769E1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</w:t>
      </w:r>
      <w:r w:rsidR="00B769E1">
        <w:rPr>
          <w:rFonts w:ascii="Verdana" w:eastAsia="Calibri" w:hAnsi="Verdana"/>
          <w:color w:val="666666"/>
          <w:sz w:val="20"/>
          <w:szCs w:val="20"/>
          <w:lang w:val="en-GB"/>
        </w:rPr>
        <w:t>A</w:t>
      </w:r>
      <w:r w:rsidR="00B769E1" w:rsidRPr="00AC1493">
        <w:rPr>
          <w:rFonts w:ascii="Verdana" w:eastAsia="Calibri" w:hAnsi="Verdana"/>
          <w:color w:val="666666"/>
          <w:sz w:val="20"/>
          <w:szCs w:val="20"/>
          <w:lang w:val="en-GB"/>
        </w:rPr>
        <w:t>nnual figures</w:t>
      </w:r>
      <w:r w:rsidR="00B769E1">
        <w:rPr>
          <w:rFonts w:ascii="Verdana" w:eastAsia="Calibri" w:hAnsi="Verdana"/>
          <w:color w:val="666666"/>
          <w:sz w:val="20"/>
          <w:szCs w:val="20"/>
          <w:lang w:val="en-GB"/>
        </w:rPr>
        <w:t xml:space="preserve"> a</w:t>
      </w:r>
      <w:r w:rsidR="00B769E1" w:rsidRPr="00AC1493">
        <w:rPr>
          <w:rFonts w:ascii="Verdana" w:eastAsia="Calibri" w:hAnsi="Verdana"/>
          <w:color w:val="666666"/>
          <w:sz w:val="20"/>
          <w:szCs w:val="20"/>
          <w:lang w:val="en-GB"/>
        </w:rPr>
        <w:t>re based on semi-annual numbers</w:t>
      </w:r>
      <w:r w:rsidR="00B769E1">
        <w:rPr>
          <w:rFonts w:ascii="Verdana" w:eastAsia="Calibri" w:hAnsi="Verdana"/>
          <w:color w:val="666666"/>
          <w:sz w:val="20"/>
          <w:szCs w:val="20"/>
          <w:lang w:val="en-GB"/>
        </w:rPr>
        <w:t>.</w:t>
      </w:r>
    </w:p>
    <w:p w14:paraId="5F76A981" w14:textId="77777777" w:rsidR="001D5071" w:rsidRPr="00EB2A2A" w:rsidRDefault="001D5071" w:rsidP="001D5071">
      <w:pPr>
        <w:spacing w:line="276" w:lineRule="auto"/>
        <w:jc w:val="both"/>
        <w:rPr>
          <w:rFonts w:ascii="Verdana" w:eastAsia="Calibri" w:hAnsi="Verdana"/>
          <w:color w:val="666666"/>
          <w:sz w:val="20"/>
          <w:szCs w:val="20"/>
          <w:lang w:val="en-GB"/>
        </w:rPr>
      </w:pPr>
    </w:p>
    <w:p w14:paraId="6651B45E" w14:textId="77777777" w:rsidR="00C5173E" w:rsidRPr="00EB2A2A" w:rsidRDefault="00C5173E" w:rsidP="00D75111">
      <w:pPr>
        <w:spacing w:line="276" w:lineRule="auto"/>
        <w:jc w:val="both"/>
        <w:rPr>
          <w:rStyle w:val="apple-converted-space"/>
          <w:rFonts w:ascii="Verdana" w:eastAsia="Calibri" w:hAnsi="Verdana"/>
          <w:color w:val="666666"/>
          <w:sz w:val="20"/>
          <w:szCs w:val="20"/>
          <w:lang w:val="en-GB"/>
        </w:rPr>
      </w:pPr>
    </w:p>
    <w:p w14:paraId="678179AD" w14:textId="77777777" w:rsidR="003F5EC8" w:rsidRPr="00EB2A2A" w:rsidRDefault="00F9329C" w:rsidP="00665350">
      <w:pPr>
        <w:pStyle w:val="NormalWeb"/>
        <w:shd w:val="clear" w:color="auto" w:fill="FFFFFF"/>
        <w:spacing w:after="150" w:line="240" w:lineRule="atLeast"/>
        <w:jc w:val="center"/>
        <w:rPr>
          <w:rFonts w:ascii="Verdana" w:hAnsi="Verdana" w:cs="Arial"/>
          <w:color w:val="404040" w:themeColor="text1" w:themeTint="BF"/>
          <w:sz w:val="18"/>
          <w:szCs w:val="18"/>
          <w:lang w:val="en-GB"/>
        </w:rPr>
      </w:pPr>
      <w:r w:rsidRPr="00EB2A2A">
        <w:rPr>
          <w:rFonts w:ascii="Verdana" w:hAnsi="Verdana" w:cs="Arial"/>
          <w:color w:val="404040" w:themeColor="text1" w:themeTint="BF"/>
          <w:sz w:val="18"/>
          <w:szCs w:val="18"/>
          <w:lang w:val="en-GB"/>
        </w:rPr>
        <w:t>***</w:t>
      </w:r>
    </w:p>
    <w:p w14:paraId="361A987D" w14:textId="2A28C909" w:rsidR="00B769E1" w:rsidRPr="00EB2A2A" w:rsidRDefault="00B769E1" w:rsidP="00DD28B4">
      <w:pPr>
        <w:spacing w:before="120" w:after="120"/>
        <w:jc w:val="both"/>
        <w:rPr>
          <w:rFonts w:ascii="Verdana" w:eastAsia="Times New Roman" w:hAnsi="Verdana" w:cs="Arial"/>
          <w:color w:val="666666"/>
          <w:sz w:val="16"/>
          <w:szCs w:val="16"/>
          <w:lang w:val="en-GB" w:eastAsia="pl-PL"/>
        </w:rPr>
      </w:pPr>
      <w:r w:rsidRPr="00632A3B">
        <w:rPr>
          <w:rFonts w:ascii="Verdana" w:eastAsia="Times New Roman" w:hAnsi="Verdana" w:cs="Arial"/>
          <w:b/>
          <w:color w:val="666666"/>
          <w:sz w:val="16"/>
          <w:szCs w:val="16"/>
          <w:lang w:val="en-GB" w:eastAsia="pl-PL"/>
        </w:rPr>
        <w:t>Warsaw Stock Exchange (GPW)</w:t>
      </w:r>
      <w:r w:rsidRPr="00632A3B">
        <w:rPr>
          <w:rFonts w:ascii="Verdana" w:eastAsia="Times New Roman" w:hAnsi="Verdana" w:cs="Arial"/>
          <w:color w:val="666666"/>
          <w:sz w:val="16"/>
          <w:szCs w:val="16"/>
          <w:lang w:val="en-GB" w:eastAsia="pl-PL"/>
        </w:rPr>
        <w:t xml:space="preserve"> is the biggest securities exchange in Central and Eastern Europe. GPW operates a regulated market of shares and derivative instruments and the alternative stock market NewConnect for growing companies. GPW is developing Catalyst, a market for issuers of corporate and municipal bonds, as well as commodity markets. Since 9 December 2010, GPW is a public company listed on Warsaw Stock Exchange. For more information visit http://www.gpw.pl</w:t>
      </w:r>
    </w:p>
    <w:sectPr w:rsidR="00B769E1" w:rsidRPr="00EB2A2A" w:rsidSect="000878EC">
      <w:footerReference w:type="default" r:id="rId14"/>
      <w:headerReference w:type="first" r:id="rId15"/>
      <w:footerReference w:type="first" r:id="rId16"/>
      <w:pgSz w:w="11906" w:h="16838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E98AA" w14:textId="77777777" w:rsidR="00B43467" w:rsidRDefault="00B43467">
      <w:r>
        <w:separator/>
      </w:r>
    </w:p>
  </w:endnote>
  <w:endnote w:type="continuationSeparator" w:id="0">
    <w:p w14:paraId="1BC12B85" w14:textId="77777777" w:rsidR="00B43467" w:rsidRDefault="00B4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rkSerif TextMedium">
    <w:altName w:val="ParkSerif TextMedium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CC30" w14:textId="77777777" w:rsidR="006B4C15" w:rsidRDefault="006B4C15" w:rsidP="006B4C15">
    <w:pPr>
      <w:pStyle w:val="Footer"/>
      <w:rPr>
        <w:rFonts w:ascii="Arial" w:hAnsi="Arial" w:cs="Arial"/>
        <w:b/>
        <w:color w:val="595959" w:themeColor="text1" w:themeTint="A6"/>
        <w:sz w:val="16"/>
        <w:szCs w:val="16"/>
      </w:rPr>
    </w:pPr>
  </w:p>
  <w:p w14:paraId="383513F2" w14:textId="367CADA7" w:rsidR="00EF7FD4" w:rsidRPr="0077717F" w:rsidRDefault="00C47792" w:rsidP="00EF7FD4">
    <w:pPr>
      <w:pStyle w:val="Footer"/>
      <w:rPr>
        <w:rStyle w:val="Hyperlink"/>
        <w:rFonts w:ascii="Verdana" w:hAnsi="Verdana" w:cs="Arial"/>
        <w:b/>
        <w:color w:val="595959" w:themeColor="text1" w:themeTint="A6"/>
        <w:sz w:val="18"/>
        <w:szCs w:val="18"/>
        <w:lang w:val="en-US"/>
      </w:rPr>
    </w:pPr>
    <w:r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GPW Communications: </w:t>
    </w:r>
    <w:r w:rsidR="00EF7FD4"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+48 22 537 7471, </w:t>
    </w:r>
    <w:hyperlink r:id="rId1" w:history="1">
      <w:r w:rsidR="00EF7FD4" w:rsidRPr="0077717F">
        <w:rPr>
          <w:rStyle w:val="Hyperlink"/>
          <w:rFonts w:ascii="Verdana" w:hAnsi="Verdana" w:cs="Arial"/>
          <w:b/>
          <w:color w:val="595959" w:themeColor="text1" w:themeTint="A6"/>
          <w:sz w:val="18"/>
          <w:szCs w:val="18"/>
          <w:lang w:val="en-US"/>
        </w:rPr>
        <w:t>press@gpw.pl</w:t>
      </w:r>
    </w:hyperlink>
  </w:p>
  <w:p w14:paraId="674B01D4" w14:textId="77777777" w:rsidR="00EF7FD4" w:rsidRPr="0077717F" w:rsidRDefault="00EF7FD4" w:rsidP="00EF7FD4">
    <w:pPr>
      <w:pStyle w:val="Footer"/>
      <w:rPr>
        <w:rStyle w:val="Hyperlink"/>
        <w:rFonts w:ascii="Verdana" w:hAnsi="Verdana" w:cs="Arial"/>
        <w:b/>
        <w:color w:val="595959" w:themeColor="text1" w:themeTint="A6"/>
        <w:sz w:val="18"/>
        <w:szCs w:val="18"/>
        <w:lang w:val="en-US"/>
      </w:rPr>
    </w:pPr>
  </w:p>
  <w:p w14:paraId="439216D4" w14:textId="77777777" w:rsidR="005B4B43" w:rsidRPr="0077717F" w:rsidRDefault="005B4B43" w:rsidP="005B4B43">
    <w:pPr>
      <w:pStyle w:val="Footer"/>
      <w:rPr>
        <w:rFonts w:ascii="Verdana" w:hAnsi="Verdana" w:cs="Arial"/>
        <w:color w:val="595959" w:themeColor="text1" w:themeTint="A6"/>
        <w:sz w:val="18"/>
        <w:szCs w:val="18"/>
        <w:u w:val="single"/>
        <w:lang w:val="en-US"/>
      </w:rPr>
    </w:pPr>
    <w:r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>Agata Nałęcz</w:t>
    </w:r>
    <w:proofErr w:type="gramStart"/>
    <w:r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>:+</w:t>
    </w:r>
    <w:proofErr w:type="gramEnd"/>
    <w:r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 xml:space="preserve">48 22 537 77 18, +48 665 550 314, </w:t>
    </w:r>
    <w:hyperlink r:id="rId2" w:history="1">
      <w:r w:rsidRPr="0077717F">
        <w:rPr>
          <w:rStyle w:val="Hyperlink"/>
          <w:rFonts w:ascii="Verdana" w:hAnsi="Verdana" w:cs="Arial"/>
          <w:color w:val="595959" w:themeColor="text1" w:themeTint="A6"/>
          <w:sz w:val="18"/>
          <w:szCs w:val="18"/>
          <w:lang w:val="en-US"/>
        </w:rPr>
        <w:t>agata.nalecz@gpw.pl</w:t>
      </w:r>
    </w:hyperlink>
  </w:p>
  <w:p w14:paraId="5682A3AC" w14:textId="77777777" w:rsidR="00EF7FD4" w:rsidRPr="00EF7FD4" w:rsidRDefault="00EF7FD4" w:rsidP="00EF7FD4">
    <w:pPr>
      <w:pStyle w:val="Footer"/>
      <w:rPr>
        <w:rFonts w:ascii="Verdana" w:hAnsi="Verdana" w:cs="Arial"/>
        <w:color w:val="595959" w:themeColor="text1" w:themeTint="A6"/>
        <w:sz w:val="18"/>
        <w:szCs w:val="18"/>
      </w:rPr>
    </w:pPr>
    <w:r w:rsidRPr="00EF7FD4">
      <w:rPr>
        <w:rFonts w:ascii="Verdana" w:hAnsi="Verdana" w:cs="Arial"/>
        <w:color w:val="595959" w:themeColor="text1" w:themeTint="A6"/>
        <w:sz w:val="18"/>
        <w:szCs w:val="18"/>
      </w:rPr>
      <w:t xml:space="preserve">Justyna Rachańska: +48 22 537 7089, +48 605 470 865, </w:t>
    </w:r>
    <w:hyperlink r:id="rId3" w:history="1">
      <w:r w:rsidRPr="00EF7FD4">
        <w:rPr>
          <w:rStyle w:val="Hyperlink"/>
          <w:rFonts w:ascii="Verdana" w:hAnsi="Verdana" w:cs="Arial"/>
          <w:color w:val="595959" w:themeColor="text1" w:themeTint="A6"/>
          <w:sz w:val="18"/>
          <w:szCs w:val="18"/>
        </w:rPr>
        <w:t>justyna.rachanska@gpw.pl</w:t>
      </w:r>
    </w:hyperlink>
  </w:p>
  <w:p w14:paraId="6CCDE376" w14:textId="77777777" w:rsidR="006B4C15" w:rsidRPr="00A0593F" w:rsidRDefault="006B4C15" w:rsidP="00EF7FD4">
    <w:pPr>
      <w:pStyle w:val="Footer"/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BC83C" w14:textId="77777777" w:rsidR="006B4C15" w:rsidRPr="0077717F" w:rsidRDefault="008601EE" w:rsidP="009D4A76">
    <w:pPr>
      <w:pStyle w:val="Footer"/>
      <w:rPr>
        <w:rFonts w:ascii="Verdana" w:hAnsi="Verdana" w:cs="Arial"/>
        <w:b/>
        <w:color w:val="595959" w:themeColor="text1" w:themeTint="A6"/>
        <w:sz w:val="18"/>
        <w:szCs w:val="18"/>
        <w:lang w:val="en-US"/>
      </w:rPr>
    </w:pPr>
    <w:r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 </w:t>
    </w:r>
  </w:p>
  <w:p w14:paraId="002D97B1" w14:textId="6931DD25" w:rsidR="003D393B" w:rsidRPr="0077717F" w:rsidRDefault="003D393B" w:rsidP="009D4A76">
    <w:pPr>
      <w:pStyle w:val="Footer"/>
      <w:rPr>
        <w:rStyle w:val="Hyperlink"/>
        <w:rFonts w:ascii="Verdana" w:hAnsi="Verdana" w:cs="Arial"/>
        <w:b/>
        <w:color w:val="595959" w:themeColor="text1" w:themeTint="A6"/>
        <w:sz w:val="18"/>
        <w:szCs w:val="18"/>
        <w:lang w:val="en-US"/>
      </w:rPr>
    </w:pPr>
    <w:r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>GPW</w:t>
    </w:r>
    <w:r w:rsidR="00C47792"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 Communications</w:t>
    </w:r>
    <w:r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>: +48 22 537 74</w:t>
    </w:r>
    <w:r w:rsidR="008601EE"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 </w:t>
    </w:r>
    <w:r w:rsidRPr="0077717F">
      <w:rPr>
        <w:rFonts w:ascii="Verdana" w:hAnsi="Verdana" w:cs="Arial"/>
        <w:b/>
        <w:color w:val="595959" w:themeColor="text1" w:themeTint="A6"/>
        <w:sz w:val="18"/>
        <w:szCs w:val="18"/>
        <w:lang w:val="en-US"/>
      </w:rPr>
      <w:t xml:space="preserve">71, </w:t>
    </w:r>
    <w:hyperlink r:id="rId1" w:history="1">
      <w:r w:rsidRPr="0077717F">
        <w:rPr>
          <w:rStyle w:val="Hyperlink"/>
          <w:rFonts w:ascii="Verdana" w:hAnsi="Verdana" w:cs="Arial"/>
          <w:b/>
          <w:color w:val="595959" w:themeColor="text1" w:themeTint="A6"/>
          <w:sz w:val="18"/>
          <w:szCs w:val="18"/>
          <w:lang w:val="en-US"/>
        </w:rPr>
        <w:t>press@gpw.pl</w:t>
      </w:r>
    </w:hyperlink>
  </w:p>
  <w:p w14:paraId="7021185F" w14:textId="77777777" w:rsidR="00CF5631" w:rsidRPr="0077717F" w:rsidRDefault="00CF5631" w:rsidP="009D4A76">
    <w:pPr>
      <w:pStyle w:val="Footer"/>
      <w:rPr>
        <w:rStyle w:val="Hyperlink"/>
        <w:rFonts w:ascii="Verdana" w:hAnsi="Verdana" w:cs="Arial"/>
        <w:b/>
        <w:color w:val="595959" w:themeColor="text1" w:themeTint="A6"/>
        <w:sz w:val="18"/>
        <w:szCs w:val="18"/>
        <w:lang w:val="en-US"/>
      </w:rPr>
    </w:pPr>
  </w:p>
  <w:p w14:paraId="40B0E1C2" w14:textId="77777777" w:rsidR="003D393B" w:rsidRPr="0077717F" w:rsidRDefault="008601EE" w:rsidP="009D4A76">
    <w:pPr>
      <w:pStyle w:val="Footer"/>
      <w:rPr>
        <w:rFonts w:ascii="Verdana" w:hAnsi="Verdana" w:cs="Arial"/>
        <w:color w:val="595959" w:themeColor="text1" w:themeTint="A6"/>
        <w:sz w:val="18"/>
        <w:szCs w:val="18"/>
        <w:u w:val="single"/>
        <w:lang w:val="en-US"/>
      </w:rPr>
    </w:pPr>
    <w:r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>Agata Nałęcz</w:t>
    </w:r>
    <w:proofErr w:type="gramStart"/>
    <w:r w:rsidR="003D393B"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>:+</w:t>
    </w:r>
    <w:proofErr w:type="gramEnd"/>
    <w:r w:rsidR="003D393B"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>48 22 537 77</w:t>
    </w:r>
    <w:r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 xml:space="preserve"> 18, +48 665 550 314</w:t>
    </w:r>
    <w:r w:rsidR="003D393B" w:rsidRPr="0077717F">
      <w:rPr>
        <w:rFonts w:ascii="Verdana" w:hAnsi="Verdana" w:cs="Arial"/>
        <w:color w:val="595959" w:themeColor="text1" w:themeTint="A6"/>
        <w:sz w:val="18"/>
        <w:szCs w:val="18"/>
        <w:lang w:val="en-US"/>
      </w:rPr>
      <w:t xml:space="preserve">, </w:t>
    </w:r>
    <w:hyperlink r:id="rId2" w:history="1">
      <w:r w:rsidRPr="0077717F">
        <w:rPr>
          <w:rStyle w:val="Hyperlink"/>
          <w:rFonts w:ascii="Verdana" w:hAnsi="Verdana" w:cs="Arial"/>
          <w:color w:val="595959" w:themeColor="text1" w:themeTint="A6"/>
          <w:sz w:val="18"/>
          <w:szCs w:val="18"/>
          <w:lang w:val="en-US"/>
        </w:rPr>
        <w:t>agata.nalecz@gpw.pl</w:t>
      </w:r>
    </w:hyperlink>
  </w:p>
  <w:p w14:paraId="5CD1B142" w14:textId="77777777" w:rsidR="003909A8" w:rsidRPr="00EF7FD4" w:rsidRDefault="003909A8" w:rsidP="003909A8">
    <w:pPr>
      <w:pStyle w:val="Footer"/>
      <w:rPr>
        <w:rFonts w:ascii="Verdana" w:hAnsi="Verdana" w:cs="Arial"/>
        <w:color w:val="595959" w:themeColor="text1" w:themeTint="A6"/>
        <w:sz w:val="18"/>
        <w:szCs w:val="18"/>
      </w:rPr>
    </w:pPr>
    <w:r w:rsidRPr="00EF7FD4">
      <w:rPr>
        <w:rFonts w:ascii="Verdana" w:hAnsi="Verdana" w:cs="Arial"/>
        <w:color w:val="595959" w:themeColor="text1" w:themeTint="A6"/>
        <w:sz w:val="18"/>
        <w:szCs w:val="18"/>
      </w:rPr>
      <w:t xml:space="preserve">Justyna Rachańska: +48 22 537 7089, +48 605 470 865, </w:t>
    </w:r>
    <w:hyperlink r:id="rId3" w:history="1">
      <w:r w:rsidRPr="00EF7FD4">
        <w:rPr>
          <w:rStyle w:val="Hyperlink"/>
          <w:rFonts w:ascii="Verdana" w:hAnsi="Verdana" w:cs="Arial"/>
          <w:color w:val="595959" w:themeColor="text1" w:themeTint="A6"/>
          <w:sz w:val="18"/>
          <w:szCs w:val="18"/>
        </w:rPr>
        <w:t>justyna.rachanska@gpw.pl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0BD9D" w14:textId="77777777" w:rsidR="00B43467" w:rsidRDefault="00B43467">
      <w:r>
        <w:separator/>
      </w:r>
    </w:p>
  </w:footnote>
  <w:footnote w:type="continuationSeparator" w:id="0">
    <w:p w14:paraId="089D096B" w14:textId="77777777" w:rsidR="00B43467" w:rsidRDefault="00B43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6E654" w14:textId="77777777" w:rsidR="003D393B" w:rsidRDefault="00F61689">
    <w:pPr>
      <w:pStyle w:val="Header"/>
    </w:pPr>
    <w:r w:rsidRPr="00D62B16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9E907C1" wp14:editId="6BDB2DCF">
          <wp:simplePos x="0" y="0"/>
          <wp:positionH relativeFrom="column">
            <wp:posOffset>635</wp:posOffset>
          </wp:positionH>
          <wp:positionV relativeFrom="paragraph">
            <wp:posOffset>-150495</wp:posOffset>
          </wp:positionV>
          <wp:extent cx="1393190" cy="409575"/>
          <wp:effectExtent l="0" t="0" r="0" b="9525"/>
          <wp:wrapTight wrapText="bothSides">
            <wp:wrapPolygon edited="0">
              <wp:start x="0" y="0"/>
              <wp:lineTo x="0" y="21098"/>
              <wp:lineTo x="21265" y="21098"/>
              <wp:lineTo x="21265" y="0"/>
              <wp:lineTo x="0" y="0"/>
            </wp:wrapPolygon>
          </wp:wrapTight>
          <wp:docPr id="9" name="Obraz 9" descr="W:\Logotypy GPW_2015\GPW\LOGO GPW\LOGO GPW PL\GPW pl CMYK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typy GPW_2015\GPW\LOGO GPW\LOGO GPW PL\GPW pl CMYK m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A1398"/>
    <w:multiLevelType w:val="hybridMultilevel"/>
    <w:tmpl w:val="1FA095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38A5443"/>
    <w:multiLevelType w:val="hybridMultilevel"/>
    <w:tmpl w:val="C200F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F14D3"/>
    <w:multiLevelType w:val="multilevel"/>
    <w:tmpl w:val="BE4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12EF0"/>
    <w:multiLevelType w:val="hybridMultilevel"/>
    <w:tmpl w:val="D694AAE8"/>
    <w:lvl w:ilvl="0" w:tplc="C116FB9E">
      <w:start w:val="5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B4A77"/>
    <w:multiLevelType w:val="hybridMultilevel"/>
    <w:tmpl w:val="843C8816"/>
    <w:lvl w:ilvl="0" w:tplc="D9D08206">
      <w:start w:val="880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0424C"/>
    <w:multiLevelType w:val="hybridMultilevel"/>
    <w:tmpl w:val="1924FDD6"/>
    <w:lvl w:ilvl="0" w:tplc="C7CC5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6CCA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6810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E0DE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2E8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106C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E60AF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DCA0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F00BF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D46"/>
    <w:multiLevelType w:val="multilevel"/>
    <w:tmpl w:val="676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E0F4F"/>
    <w:multiLevelType w:val="hybridMultilevel"/>
    <w:tmpl w:val="7562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E4"/>
    <w:rsid w:val="00002FDF"/>
    <w:rsid w:val="00004D60"/>
    <w:rsid w:val="000058AA"/>
    <w:rsid w:val="0000628D"/>
    <w:rsid w:val="00006FE3"/>
    <w:rsid w:val="00010775"/>
    <w:rsid w:val="000115FF"/>
    <w:rsid w:val="00011643"/>
    <w:rsid w:val="00012DA7"/>
    <w:rsid w:val="00021F59"/>
    <w:rsid w:val="0002222B"/>
    <w:rsid w:val="0002330D"/>
    <w:rsid w:val="0002610A"/>
    <w:rsid w:val="00034EE9"/>
    <w:rsid w:val="00037886"/>
    <w:rsid w:val="00044924"/>
    <w:rsid w:val="00046634"/>
    <w:rsid w:val="00051310"/>
    <w:rsid w:val="00053D1F"/>
    <w:rsid w:val="00053EA4"/>
    <w:rsid w:val="000541CF"/>
    <w:rsid w:val="00056EB0"/>
    <w:rsid w:val="0005773D"/>
    <w:rsid w:val="00061615"/>
    <w:rsid w:val="0006498D"/>
    <w:rsid w:val="00077144"/>
    <w:rsid w:val="000842E6"/>
    <w:rsid w:val="00084D73"/>
    <w:rsid w:val="00085266"/>
    <w:rsid w:val="000878EC"/>
    <w:rsid w:val="0009198D"/>
    <w:rsid w:val="000919B7"/>
    <w:rsid w:val="000919F5"/>
    <w:rsid w:val="0009210D"/>
    <w:rsid w:val="00092F14"/>
    <w:rsid w:val="00093285"/>
    <w:rsid w:val="000961D7"/>
    <w:rsid w:val="000A2908"/>
    <w:rsid w:val="000B7274"/>
    <w:rsid w:val="000C00C1"/>
    <w:rsid w:val="000C114A"/>
    <w:rsid w:val="000C34E8"/>
    <w:rsid w:val="000C3818"/>
    <w:rsid w:val="000C64CF"/>
    <w:rsid w:val="000D1D3D"/>
    <w:rsid w:val="000D3E11"/>
    <w:rsid w:val="000E12CC"/>
    <w:rsid w:val="000E1E5B"/>
    <w:rsid w:val="000E44D5"/>
    <w:rsid w:val="000E6032"/>
    <w:rsid w:val="000E6CCD"/>
    <w:rsid w:val="000F0B74"/>
    <w:rsid w:val="000F38FF"/>
    <w:rsid w:val="000F792E"/>
    <w:rsid w:val="001050EB"/>
    <w:rsid w:val="00106CE6"/>
    <w:rsid w:val="0011598B"/>
    <w:rsid w:val="00116913"/>
    <w:rsid w:val="0011745E"/>
    <w:rsid w:val="0012247F"/>
    <w:rsid w:val="00124AC8"/>
    <w:rsid w:val="00125D18"/>
    <w:rsid w:val="00125DD9"/>
    <w:rsid w:val="0013507A"/>
    <w:rsid w:val="001355C3"/>
    <w:rsid w:val="001366E4"/>
    <w:rsid w:val="00136FB5"/>
    <w:rsid w:val="00141C06"/>
    <w:rsid w:val="00142B2F"/>
    <w:rsid w:val="0014457F"/>
    <w:rsid w:val="00147DF6"/>
    <w:rsid w:val="00156586"/>
    <w:rsid w:val="00163F6C"/>
    <w:rsid w:val="00164A5E"/>
    <w:rsid w:val="00165E1E"/>
    <w:rsid w:val="00167438"/>
    <w:rsid w:val="00167EA8"/>
    <w:rsid w:val="0017097E"/>
    <w:rsid w:val="00171CC4"/>
    <w:rsid w:val="001733B3"/>
    <w:rsid w:val="001747CB"/>
    <w:rsid w:val="001753F4"/>
    <w:rsid w:val="001762E3"/>
    <w:rsid w:val="00190333"/>
    <w:rsid w:val="00192A72"/>
    <w:rsid w:val="00193928"/>
    <w:rsid w:val="00196A1C"/>
    <w:rsid w:val="001A2A7C"/>
    <w:rsid w:val="001A6647"/>
    <w:rsid w:val="001B3D55"/>
    <w:rsid w:val="001B73D2"/>
    <w:rsid w:val="001C034D"/>
    <w:rsid w:val="001C0DC5"/>
    <w:rsid w:val="001C2DBA"/>
    <w:rsid w:val="001C321A"/>
    <w:rsid w:val="001C66C5"/>
    <w:rsid w:val="001C6995"/>
    <w:rsid w:val="001C7C5D"/>
    <w:rsid w:val="001D0AC7"/>
    <w:rsid w:val="001D2C1B"/>
    <w:rsid w:val="001D5071"/>
    <w:rsid w:val="001E0EC6"/>
    <w:rsid w:val="001E5005"/>
    <w:rsid w:val="001E535B"/>
    <w:rsid w:val="001F1631"/>
    <w:rsid w:val="001F551A"/>
    <w:rsid w:val="001F763C"/>
    <w:rsid w:val="00207162"/>
    <w:rsid w:val="00217B7A"/>
    <w:rsid w:val="00220444"/>
    <w:rsid w:val="00220DEA"/>
    <w:rsid w:val="00226A01"/>
    <w:rsid w:val="00227026"/>
    <w:rsid w:val="00231F7C"/>
    <w:rsid w:val="00234A1A"/>
    <w:rsid w:val="00235726"/>
    <w:rsid w:val="002403B2"/>
    <w:rsid w:val="00241136"/>
    <w:rsid w:val="00243F8D"/>
    <w:rsid w:val="00245245"/>
    <w:rsid w:val="00245FE7"/>
    <w:rsid w:val="00246CD7"/>
    <w:rsid w:val="00246F57"/>
    <w:rsid w:val="00247FCC"/>
    <w:rsid w:val="00251F7D"/>
    <w:rsid w:val="00253AC8"/>
    <w:rsid w:val="00255DDA"/>
    <w:rsid w:val="00264AD0"/>
    <w:rsid w:val="002666AD"/>
    <w:rsid w:val="00270EB6"/>
    <w:rsid w:val="002726D2"/>
    <w:rsid w:val="00276A78"/>
    <w:rsid w:val="002805CB"/>
    <w:rsid w:val="00281BF7"/>
    <w:rsid w:val="00282FA3"/>
    <w:rsid w:val="00283061"/>
    <w:rsid w:val="002911F8"/>
    <w:rsid w:val="002932F8"/>
    <w:rsid w:val="0029723C"/>
    <w:rsid w:val="00297CE3"/>
    <w:rsid w:val="002A0AAA"/>
    <w:rsid w:val="002A23EC"/>
    <w:rsid w:val="002A3C70"/>
    <w:rsid w:val="002A47AE"/>
    <w:rsid w:val="002A61FD"/>
    <w:rsid w:val="002A788B"/>
    <w:rsid w:val="002B20D8"/>
    <w:rsid w:val="002B3386"/>
    <w:rsid w:val="002B42AF"/>
    <w:rsid w:val="002B7080"/>
    <w:rsid w:val="002C0266"/>
    <w:rsid w:val="002C49F0"/>
    <w:rsid w:val="002C7716"/>
    <w:rsid w:val="002D01D4"/>
    <w:rsid w:val="002D460A"/>
    <w:rsid w:val="002E2AA3"/>
    <w:rsid w:val="002E4DA9"/>
    <w:rsid w:val="002F0598"/>
    <w:rsid w:val="002F78BF"/>
    <w:rsid w:val="00301E2A"/>
    <w:rsid w:val="00301EB5"/>
    <w:rsid w:val="00302F24"/>
    <w:rsid w:val="0030368F"/>
    <w:rsid w:val="00306654"/>
    <w:rsid w:val="00310364"/>
    <w:rsid w:val="0031634A"/>
    <w:rsid w:val="00316F01"/>
    <w:rsid w:val="00323BCC"/>
    <w:rsid w:val="00333A9B"/>
    <w:rsid w:val="00335459"/>
    <w:rsid w:val="00336B2B"/>
    <w:rsid w:val="00342C75"/>
    <w:rsid w:val="00345124"/>
    <w:rsid w:val="003457FF"/>
    <w:rsid w:val="003471E8"/>
    <w:rsid w:val="003523FE"/>
    <w:rsid w:val="00353312"/>
    <w:rsid w:val="00353A29"/>
    <w:rsid w:val="003555B3"/>
    <w:rsid w:val="00355885"/>
    <w:rsid w:val="00356C4C"/>
    <w:rsid w:val="00360AD0"/>
    <w:rsid w:val="00360EFA"/>
    <w:rsid w:val="00361D17"/>
    <w:rsid w:val="00362B1F"/>
    <w:rsid w:val="003712F4"/>
    <w:rsid w:val="00371493"/>
    <w:rsid w:val="00372FE7"/>
    <w:rsid w:val="003834E4"/>
    <w:rsid w:val="00390553"/>
    <w:rsid w:val="003909A8"/>
    <w:rsid w:val="00396691"/>
    <w:rsid w:val="003A23D6"/>
    <w:rsid w:val="003A5374"/>
    <w:rsid w:val="003A57A7"/>
    <w:rsid w:val="003A73F3"/>
    <w:rsid w:val="003B2F02"/>
    <w:rsid w:val="003B5689"/>
    <w:rsid w:val="003B6F9E"/>
    <w:rsid w:val="003C7CF5"/>
    <w:rsid w:val="003D0F22"/>
    <w:rsid w:val="003D393B"/>
    <w:rsid w:val="003D52AB"/>
    <w:rsid w:val="003D7DE3"/>
    <w:rsid w:val="003E20E0"/>
    <w:rsid w:val="003E6C52"/>
    <w:rsid w:val="003F2D6A"/>
    <w:rsid w:val="003F2D9E"/>
    <w:rsid w:val="003F3F6A"/>
    <w:rsid w:val="003F4D38"/>
    <w:rsid w:val="003F5EC8"/>
    <w:rsid w:val="00400C04"/>
    <w:rsid w:val="0040480C"/>
    <w:rsid w:val="00404DB5"/>
    <w:rsid w:val="00412BC5"/>
    <w:rsid w:val="004175F0"/>
    <w:rsid w:val="00417D0F"/>
    <w:rsid w:val="0042290B"/>
    <w:rsid w:val="00422ECD"/>
    <w:rsid w:val="00423134"/>
    <w:rsid w:val="00426B0B"/>
    <w:rsid w:val="00427E55"/>
    <w:rsid w:val="0043187F"/>
    <w:rsid w:val="00433A41"/>
    <w:rsid w:val="00433F74"/>
    <w:rsid w:val="00433FEA"/>
    <w:rsid w:val="00434909"/>
    <w:rsid w:val="004412C1"/>
    <w:rsid w:val="00443959"/>
    <w:rsid w:val="00444892"/>
    <w:rsid w:val="004466AB"/>
    <w:rsid w:val="00446849"/>
    <w:rsid w:val="00446EAB"/>
    <w:rsid w:val="00447CE0"/>
    <w:rsid w:val="00472105"/>
    <w:rsid w:val="004754FB"/>
    <w:rsid w:val="00477746"/>
    <w:rsid w:val="0048337B"/>
    <w:rsid w:val="00491CD5"/>
    <w:rsid w:val="0049221D"/>
    <w:rsid w:val="00494E5A"/>
    <w:rsid w:val="00497300"/>
    <w:rsid w:val="004B508D"/>
    <w:rsid w:val="004B5343"/>
    <w:rsid w:val="004B7930"/>
    <w:rsid w:val="004C3EA7"/>
    <w:rsid w:val="004C5664"/>
    <w:rsid w:val="004D3E7C"/>
    <w:rsid w:val="004D6C50"/>
    <w:rsid w:val="004E40D6"/>
    <w:rsid w:val="004E48C6"/>
    <w:rsid w:val="004E6334"/>
    <w:rsid w:val="004F0186"/>
    <w:rsid w:val="004F2261"/>
    <w:rsid w:val="004F3544"/>
    <w:rsid w:val="004F474F"/>
    <w:rsid w:val="004F57E3"/>
    <w:rsid w:val="004F6D72"/>
    <w:rsid w:val="004F6F4F"/>
    <w:rsid w:val="00503E3C"/>
    <w:rsid w:val="00505110"/>
    <w:rsid w:val="00505CA7"/>
    <w:rsid w:val="00506E76"/>
    <w:rsid w:val="00506EEC"/>
    <w:rsid w:val="00507CD5"/>
    <w:rsid w:val="00515451"/>
    <w:rsid w:val="005165AE"/>
    <w:rsid w:val="005174CA"/>
    <w:rsid w:val="005300A7"/>
    <w:rsid w:val="00542C1F"/>
    <w:rsid w:val="00543D12"/>
    <w:rsid w:val="00546080"/>
    <w:rsid w:val="005469A1"/>
    <w:rsid w:val="0055208F"/>
    <w:rsid w:val="00553A8A"/>
    <w:rsid w:val="00554AD6"/>
    <w:rsid w:val="0055772E"/>
    <w:rsid w:val="00563B2C"/>
    <w:rsid w:val="0056708D"/>
    <w:rsid w:val="00575E99"/>
    <w:rsid w:val="00577488"/>
    <w:rsid w:val="00581247"/>
    <w:rsid w:val="00582118"/>
    <w:rsid w:val="005870C6"/>
    <w:rsid w:val="005910ED"/>
    <w:rsid w:val="00591EFD"/>
    <w:rsid w:val="00594E26"/>
    <w:rsid w:val="00595512"/>
    <w:rsid w:val="005A0204"/>
    <w:rsid w:val="005A08D6"/>
    <w:rsid w:val="005A3564"/>
    <w:rsid w:val="005A56A6"/>
    <w:rsid w:val="005B4B43"/>
    <w:rsid w:val="005B4C79"/>
    <w:rsid w:val="005C16C5"/>
    <w:rsid w:val="005C3B2B"/>
    <w:rsid w:val="005C5D8D"/>
    <w:rsid w:val="005C62AB"/>
    <w:rsid w:val="005D1808"/>
    <w:rsid w:val="005D57BB"/>
    <w:rsid w:val="005D63B5"/>
    <w:rsid w:val="005D6D81"/>
    <w:rsid w:val="005E326D"/>
    <w:rsid w:val="005E403E"/>
    <w:rsid w:val="005E5366"/>
    <w:rsid w:val="005E57A2"/>
    <w:rsid w:val="005F0C34"/>
    <w:rsid w:val="005F5534"/>
    <w:rsid w:val="005F6AC5"/>
    <w:rsid w:val="006006C3"/>
    <w:rsid w:val="00602BDC"/>
    <w:rsid w:val="006032C2"/>
    <w:rsid w:val="00605B20"/>
    <w:rsid w:val="00610FC9"/>
    <w:rsid w:val="006206A3"/>
    <w:rsid w:val="006212A1"/>
    <w:rsid w:val="00623891"/>
    <w:rsid w:val="0062484D"/>
    <w:rsid w:val="006276CD"/>
    <w:rsid w:val="00637DFC"/>
    <w:rsid w:val="00644576"/>
    <w:rsid w:val="00644C09"/>
    <w:rsid w:val="00650C31"/>
    <w:rsid w:val="00655658"/>
    <w:rsid w:val="00656617"/>
    <w:rsid w:val="00657C4A"/>
    <w:rsid w:val="00661099"/>
    <w:rsid w:val="00661D67"/>
    <w:rsid w:val="00662556"/>
    <w:rsid w:val="00662ADB"/>
    <w:rsid w:val="006635DC"/>
    <w:rsid w:val="00665350"/>
    <w:rsid w:val="006736E9"/>
    <w:rsid w:val="006737BB"/>
    <w:rsid w:val="00674BF7"/>
    <w:rsid w:val="00681ABC"/>
    <w:rsid w:val="00683F88"/>
    <w:rsid w:val="006850D4"/>
    <w:rsid w:val="006863F2"/>
    <w:rsid w:val="00687624"/>
    <w:rsid w:val="00687F33"/>
    <w:rsid w:val="006938BA"/>
    <w:rsid w:val="006A3B5F"/>
    <w:rsid w:val="006A6B8E"/>
    <w:rsid w:val="006B091A"/>
    <w:rsid w:val="006B2260"/>
    <w:rsid w:val="006B31BC"/>
    <w:rsid w:val="006B4C15"/>
    <w:rsid w:val="006B631B"/>
    <w:rsid w:val="006C055A"/>
    <w:rsid w:val="006C0C57"/>
    <w:rsid w:val="006C205A"/>
    <w:rsid w:val="006C4D09"/>
    <w:rsid w:val="006C6F6D"/>
    <w:rsid w:val="006D0D0C"/>
    <w:rsid w:val="006D43D2"/>
    <w:rsid w:val="006E1720"/>
    <w:rsid w:val="006E3740"/>
    <w:rsid w:val="006E51B1"/>
    <w:rsid w:val="006E5DAC"/>
    <w:rsid w:val="006F1955"/>
    <w:rsid w:val="006F5796"/>
    <w:rsid w:val="006F5D68"/>
    <w:rsid w:val="006F7352"/>
    <w:rsid w:val="00700CCD"/>
    <w:rsid w:val="0070210C"/>
    <w:rsid w:val="00702DAD"/>
    <w:rsid w:val="00703987"/>
    <w:rsid w:val="007054B8"/>
    <w:rsid w:val="00706B9D"/>
    <w:rsid w:val="007077B5"/>
    <w:rsid w:val="00713F31"/>
    <w:rsid w:val="00715057"/>
    <w:rsid w:val="00720250"/>
    <w:rsid w:val="007208B6"/>
    <w:rsid w:val="0072194C"/>
    <w:rsid w:val="00723599"/>
    <w:rsid w:val="00724540"/>
    <w:rsid w:val="00724C0B"/>
    <w:rsid w:val="007302B6"/>
    <w:rsid w:val="00732F2C"/>
    <w:rsid w:val="00741E8F"/>
    <w:rsid w:val="00742BA5"/>
    <w:rsid w:val="00743209"/>
    <w:rsid w:val="00743CA8"/>
    <w:rsid w:val="00744E38"/>
    <w:rsid w:val="0074705A"/>
    <w:rsid w:val="007471CB"/>
    <w:rsid w:val="00750E82"/>
    <w:rsid w:val="007522BB"/>
    <w:rsid w:val="00756C7D"/>
    <w:rsid w:val="00756FCE"/>
    <w:rsid w:val="007636C2"/>
    <w:rsid w:val="00767FD8"/>
    <w:rsid w:val="00771177"/>
    <w:rsid w:val="0077717F"/>
    <w:rsid w:val="00780523"/>
    <w:rsid w:val="00782695"/>
    <w:rsid w:val="007844CA"/>
    <w:rsid w:val="00793262"/>
    <w:rsid w:val="007964CB"/>
    <w:rsid w:val="007A1B65"/>
    <w:rsid w:val="007B5069"/>
    <w:rsid w:val="007C25A4"/>
    <w:rsid w:val="007C685F"/>
    <w:rsid w:val="007C7F54"/>
    <w:rsid w:val="007E2206"/>
    <w:rsid w:val="007E539F"/>
    <w:rsid w:val="007F029A"/>
    <w:rsid w:val="007F21D1"/>
    <w:rsid w:val="00802FF4"/>
    <w:rsid w:val="00805BDD"/>
    <w:rsid w:val="008079B0"/>
    <w:rsid w:val="00807DFE"/>
    <w:rsid w:val="00810216"/>
    <w:rsid w:val="00816367"/>
    <w:rsid w:val="008213A7"/>
    <w:rsid w:val="00821A69"/>
    <w:rsid w:val="00822D4F"/>
    <w:rsid w:val="00824C4D"/>
    <w:rsid w:val="00825F49"/>
    <w:rsid w:val="00835F34"/>
    <w:rsid w:val="008372F6"/>
    <w:rsid w:val="00843B8B"/>
    <w:rsid w:val="008479C0"/>
    <w:rsid w:val="00854D14"/>
    <w:rsid w:val="008601EE"/>
    <w:rsid w:val="00863ECB"/>
    <w:rsid w:val="00864984"/>
    <w:rsid w:val="008666BA"/>
    <w:rsid w:val="00867831"/>
    <w:rsid w:val="00874A78"/>
    <w:rsid w:val="00880BA7"/>
    <w:rsid w:val="008820DD"/>
    <w:rsid w:val="00882934"/>
    <w:rsid w:val="00883C9E"/>
    <w:rsid w:val="0088522A"/>
    <w:rsid w:val="0089145A"/>
    <w:rsid w:val="008A2398"/>
    <w:rsid w:val="008A2F52"/>
    <w:rsid w:val="008A376B"/>
    <w:rsid w:val="008A3A9E"/>
    <w:rsid w:val="008B007B"/>
    <w:rsid w:val="008B358B"/>
    <w:rsid w:val="008B4309"/>
    <w:rsid w:val="008B48CF"/>
    <w:rsid w:val="008C4844"/>
    <w:rsid w:val="008D268B"/>
    <w:rsid w:val="008D3327"/>
    <w:rsid w:val="008D7CF5"/>
    <w:rsid w:val="008E06C6"/>
    <w:rsid w:val="008E1934"/>
    <w:rsid w:val="008E24FC"/>
    <w:rsid w:val="008E6D2A"/>
    <w:rsid w:val="008E7D75"/>
    <w:rsid w:val="008F4506"/>
    <w:rsid w:val="008F4893"/>
    <w:rsid w:val="008F4B8B"/>
    <w:rsid w:val="008F6E92"/>
    <w:rsid w:val="00903E3B"/>
    <w:rsid w:val="00905065"/>
    <w:rsid w:val="009079C6"/>
    <w:rsid w:val="00910C9A"/>
    <w:rsid w:val="009121DD"/>
    <w:rsid w:val="0091361A"/>
    <w:rsid w:val="00913909"/>
    <w:rsid w:val="00914076"/>
    <w:rsid w:val="00915BD7"/>
    <w:rsid w:val="009160E2"/>
    <w:rsid w:val="00917C9D"/>
    <w:rsid w:val="00923056"/>
    <w:rsid w:val="00923AC9"/>
    <w:rsid w:val="00924493"/>
    <w:rsid w:val="009279AE"/>
    <w:rsid w:val="00931893"/>
    <w:rsid w:val="00944ABB"/>
    <w:rsid w:val="0094506D"/>
    <w:rsid w:val="0095420B"/>
    <w:rsid w:val="00954873"/>
    <w:rsid w:val="00960103"/>
    <w:rsid w:val="00960273"/>
    <w:rsid w:val="00960F07"/>
    <w:rsid w:val="009615F1"/>
    <w:rsid w:val="00963198"/>
    <w:rsid w:val="00973566"/>
    <w:rsid w:val="0097414C"/>
    <w:rsid w:val="00975733"/>
    <w:rsid w:val="00976FAA"/>
    <w:rsid w:val="0098000D"/>
    <w:rsid w:val="009802CA"/>
    <w:rsid w:val="0098485E"/>
    <w:rsid w:val="009919E2"/>
    <w:rsid w:val="00991CF7"/>
    <w:rsid w:val="0099561E"/>
    <w:rsid w:val="009A010E"/>
    <w:rsid w:val="009A21FC"/>
    <w:rsid w:val="009A3BF0"/>
    <w:rsid w:val="009B391E"/>
    <w:rsid w:val="009B3AF3"/>
    <w:rsid w:val="009B6528"/>
    <w:rsid w:val="009C02D0"/>
    <w:rsid w:val="009C220D"/>
    <w:rsid w:val="009C2A70"/>
    <w:rsid w:val="009C5C90"/>
    <w:rsid w:val="009C63A9"/>
    <w:rsid w:val="009D0108"/>
    <w:rsid w:val="009D05F6"/>
    <w:rsid w:val="009D3CD4"/>
    <w:rsid w:val="009D4A76"/>
    <w:rsid w:val="009D6AB6"/>
    <w:rsid w:val="009D7AF0"/>
    <w:rsid w:val="009D7C02"/>
    <w:rsid w:val="009E3254"/>
    <w:rsid w:val="009E7506"/>
    <w:rsid w:val="009F1E5B"/>
    <w:rsid w:val="009F37DC"/>
    <w:rsid w:val="009F38C6"/>
    <w:rsid w:val="009F41C7"/>
    <w:rsid w:val="009F5DDF"/>
    <w:rsid w:val="009F7008"/>
    <w:rsid w:val="009F7446"/>
    <w:rsid w:val="00A018CE"/>
    <w:rsid w:val="00A0222A"/>
    <w:rsid w:val="00A02A78"/>
    <w:rsid w:val="00A0344F"/>
    <w:rsid w:val="00A03535"/>
    <w:rsid w:val="00A043A9"/>
    <w:rsid w:val="00A06C24"/>
    <w:rsid w:val="00A130A0"/>
    <w:rsid w:val="00A13C95"/>
    <w:rsid w:val="00A15FE0"/>
    <w:rsid w:val="00A17467"/>
    <w:rsid w:val="00A174C8"/>
    <w:rsid w:val="00A20864"/>
    <w:rsid w:val="00A2337F"/>
    <w:rsid w:val="00A23B4E"/>
    <w:rsid w:val="00A265C8"/>
    <w:rsid w:val="00A32948"/>
    <w:rsid w:val="00A33832"/>
    <w:rsid w:val="00A4190D"/>
    <w:rsid w:val="00A4319B"/>
    <w:rsid w:val="00A43FFB"/>
    <w:rsid w:val="00A5178F"/>
    <w:rsid w:val="00A52C6E"/>
    <w:rsid w:val="00A52F04"/>
    <w:rsid w:val="00A61047"/>
    <w:rsid w:val="00A62AE7"/>
    <w:rsid w:val="00A63622"/>
    <w:rsid w:val="00A64083"/>
    <w:rsid w:val="00A64F44"/>
    <w:rsid w:val="00A8102E"/>
    <w:rsid w:val="00A81F52"/>
    <w:rsid w:val="00A84E62"/>
    <w:rsid w:val="00A86842"/>
    <w:rsid w:val="00A92982"/>
    <w:rsid w:val="00A92B62"/>
    <w:rsid w:val="00A96C05"/>
    <w:rsid w:val="00A9727A"/>
    <w:rsid w:val="00AA16E4"/>
    <w:rsid w:val="00AA4747"/>
    <w:rsid w:val="00AB02E0"/>
    <w:rsid w:val="00AB1712"/>
    <w:rsid w:val="00AB2887"/>
    <w:rsid w:val="00AB30ED"/>
    <w:rsid w:val="00AB691E"/>
    <w:rsid w:val="00AC1493"/>
    <w:rsid w:val="00AC534D"/>
    <w:rsid w:val="00AC792D"/>
    <w:rsid w:val="00AD799E"/>
    <w:rsid w:val="00AE1356"/>
    <w:rsid w:val="00AE1F56"/>
    <w:rsid w:val="00AE2BDA"/>
    <w:rsid w:val="00AE3B6E"/>
    <w:rsid w:val="00AE502E"/>
    <w:rsid w:val="00AF3085"/>
    <w:rsid w:val="00AF50A6"/>
    <w:rsid w:val="00AF5A23"/>
    <w:rsid w:val="00AF739A"/>
    <w:rsid w:val="00AF7556"/>
    <w:rsid w:val="00B06246"/>
    <w:rsid w:val="00B136E3"/>
    <w:rsid w:val="00B16343"/>
    <w:rsid w:val="00B169FA"/>
    <w:rsid w:val="00B17699"/>
    <w:rsid w:val="00B17DF0"/>
    <w:rsid w:val="00B25A4A"/>
    <w:rsid w:val="00B2663D"/>
    <w:rsid w:val="00B302E8"/>
    <w:rsid w:val="00B32399"/>
    <w:rsid w:val="00B32CD8"/>
    <w:rsid w:val="00B34CBB"/>
    <w:rsid w:val="00B3597C"/>
    <w:rsid w:val="00B36780"/>
    <w:rsid w:val="00B409AC"/>
    <w:rsid w:val="00B42120"/>
    <w:rsid w:val="00B43467"/>
    <w:rsid w:val="00B45A10"/>
    <w:rsid w:val="00B5127C"/>
    <w:rsid w:val="00B519C1"/>
    <w:rsid w:val="00B5341D"/>
    <w:rsid w:val="00B53643"/>
    <w:rsid w:val="00B5641C"/>
    <w:rsid w:val="00B63ED3"/>
    <w:rsid w:val="00B66203"/>
    <w:rsid w:val="00B73CDE"/>
    <w:rsid w:val="00B75D63"/>
    <w:rsid w:val="00B769E1"/>
    <w:rsid w:val="00B77131"/>
    <w:rsid w:val="00B80252"/>
    <w:rsid w:val="00B860F2"/>
    <w:rsid w:val="00B86B6C"/>
    <w:rsid w:val="00B969DE"/>
    <w:rsid w:val="00BA0F41"/>
    <w:rsid w:val="00BA3787"/>
    <w:rsid w:val="00BB15E5"/>
    <w:rsid w:val="00BC1914"/>
    <w:rsid w:val="00BC2AF6"/>
    <w:rsid w:val="00BC55FA"/>
    <w:rsid w:val="00BD6E9B"/>
    <w:rsid w:val="00BE5FCF"/>
    <w:rsid w:val="00BF00AA"/>
    <w:rsid w:val="00BF088F"/>
    <w:rsid w:val="00BF3D5C"/>
    <w:rsid w:val="00BF3F86"/>
    <w:rsid w:val="00BF577E"/>
    <w:rsid w:val="00C16180"/>
    <w:rsid w:val="00C16234"/>
    <w:rsid w:val="00C165BA"/>
    <w:rsid w:val="00C16C47"/>
    <w:rsid w:val="00C21883"/>
    <w:rsid w:val="00C21CC2"/>
    <w:rsid w:val="00C22947"/>
    <w:rsid w:val="00C25079"/>
    <w:rsid w:val="00C308E3"/>
    <w:rsid w:val="00C329E2"/>
    <w:rsid w:val="00C3482C"/>
    <w:rsid w:val="00C460B0"/>
    <w:rsid w:val="00C47445"/>
    <w:rsid w:val="00C47792"/>
    <w:rsid w:val="00C50F4B"/>
    <w:rsid w:val="00C5173E"/>
    <w:rsid w:val="00C54460"/>
    <w:rsid w:val="00C55AE6"/>
    <w:rsid w:val="00C60D03"/>
    <w:rsid w:val="00C62B45"/>
    <w:rsid w:val="00C66675"/>
    <w:rsid w:val="00C72A9E"/>
    <w:rsid w:val="00C734E0"/>
    <w:rsid w:val="00C739E8"/>
    <w:rsid w:val="00C776BD"/>
    <w:rsid w:val="00C80E6E"/>
    <w:rsid w:val="00C81165"/>
    <w:rsid w:val="00C9045A"/>
    <w:rsid w:val="00C91FA6"/>
    <w:rsid w:val="00C92CA9"/>
    <w:rsid w:val="00C936B3"/>
    <w:rsid w:val="00C94668"/>
    <w:rsid w:val="00C9550D"/>
    <w:rsid w:val="00CA11E5"/>
    <w:rsid w:val="00CA422C"/>
    <w:rsid w:val="00CB0A6D"/>
    <w:rsid w:val="00CB3422"/>
    <w:rsid w:val="00CB400C"/>
    <w:rsid w:val="00CB5359"/>
    <w:rsid w:val="00CB542E"/>
    <w:rsid w:val="00CB5A94"/>
    <w:rsid w:val="00CB6360"/>
    <w:rsid w:val="00CC6C99"/>
    <w:rsid w:val="00CC7211"/>
    <w:rsid w:val="00CD02BE"/>
    <w:rsid w:val="00CD259E"/>
    <w:rsid w:val="00CD2811"/>
    <w:rsid w:val="00CD41E0"/>
    <w:rsid w:val="00CE12AB"/>
    <w:rsid w:val="00CE1894"/>
    <w:rsid w:val="00CE2E94"/>
    <w:rsid w:val="00CE6BBA"/>
    <w:rsid w:val="00CF3893"/>
    <w:rsid w:val="00CF5631"/>
    <w:rsid w:val="00D10722"/>
    <w:rsid w:val="00D13CBD"/>
    <w:rsid w:val="00D13FE6"/>
    <w:rsid w:val="00D159BF"/>
    <w:rsid w:val="00D15B59"/>
    <w:rsid w:val="00D15CE7"/>
    <w:rsid w:val="00D22DD1"/>
    <w:rsid w:val="00D3100D"/>
    <w:rsid w:val="00D31C4F"/>
    <w:rsid w:val="00D35451"/>
    <w:rsid w:val="00D35543"/>
    <w:rsid w:val="00D36A04"/>
    <w:rsid w:val="00D4488A"/>
    <w:rsid w:val="00D44EBF"/>
    <w:rsid w:val="00D45A6C"/>
    <w:rsid w:val="00D45D24"/>
    <w:rsid w:val="00D46FA3"/>
    <w:rsid w:val="00D472E9"/>
    <w:rsid w:val="00D5490C"/>
    <w:rsid w:val="00D602C9"/>
    <w:rsid w:val="00D62B16"/>
    <w:rsid w:val="00D656D2"/>
    <w:rsid w:val="00D70100"/>
    <w:rsid w:val="00D711B2"/>
    <w:rsid w:val="00D71D0F"/>
    <w:rsid w:val="00D75111"/>
    <w:rsid w:val="00D81187"/>
    <w:rsid w:val="00D847E7"/>
    <w:rsid w:val="00D91A94"/>
    <w:rsid w:val="00D93F24"/>
    <w:rsid w:val="00D97505"/>
    <w:rsid w:val="00D978A6"/>
    <w:rsid w:val="00DA0601"/>
    <w:rsid w:val="00DA0E36"/>
    <w:rsid w:val="00DA1043"/>
    <w:rsid w:val="00DA33EF"/>
    <w:rsid w:val="00DA348B"/>
    <w:rsid w:val="00DA36E6"/>
    <w:rsid w:val="00DB11DB"/>
    <w:rsid w:val="00DB242D"/>
    <w:rsid w:val="00DB32EE"/>
    <w:rsid w:val="00DB5216"/>
    <w:rsid w:val="00DC139E"/>
    <w:rsid w:val="00DC2BB4"/>
    <w:rsid w:val="00DC2E34"/>
    <w:rsid w:val="00DC4EEC"/>
    <w:rsid w:val="00DC51EE"/>
    <w:rsid w:val="00DC6665"/>
    <w:rsid w:val="00DD1E9E"/>
    <w:rsid w:val="00DD28B4"/>
    <w:rsid w:val="00DD2A9C"/>
    <w:rsid w:val="00DD36E9"/>
    <w:rsid w:val="00DD3E08"/>
    <w:rsid w:val="00DD41CE"/>
    <w:rsid w:val="00DD65E0"/>
    <w:rsid w:val="00DD7B61"/>
    <w:rsid w:val="00DE24CC"/>
    <w:rsid w:val="00DE431A"/>
    <w:rsid w:val="00DE4695"/>
    <w:rsid w:val="00DE4F8E"/>
    <w:rsid w:val="00DE576E"/>
    <w:rsid w:val="00DE6226"/>
    <w:rsid w:val="00DF0CCD"/>
    <w:rsid w:val="00DF152A"/>
    <w:rsid w:val="00DF42C3"/>
    <w:rsid w:val="00DF4F7A"/>
    <w:rsid w:val="00E00362"/>
    <w:rsid w:val="00E02953"/>
    <w:rsid w:val="00E05972"/>
    <w:rsid w:val="00E0758F"/>
    <w:rsid w:val="00E113E8"/>
    <w:rsid w:val="00E134D0"/>
    <w:rsid w:val="00E16537"/>
    <w:rsid w:val="00E177D3"/>
    <w:rsid w:val="00E21600"/>
    <w:rsid w:val="00E22C77"/>
    <w:rsid w:val="00E27C43"/>
    <w:rsid w:val="00E32225"/>
    <w:rsid w:val="00E3588D"/>
    <w:rsid w:val="00E456F5"/>
    <w:rsid w:val="00E4593D"/>
    <w:rsid w:val="00E467FB"/>
    <w:rsid w:val="00E47AF6"/>
    <w:rsid w:val="00E52662"/>
    <w:rsid w:val="00E559BD"/>
    <w:rsid w:val="00E578C9"/>
    <w:rsid w:val="00E616D0"/>
    <w:rsid w:val="00E673C7"/>
    <w:rsid w:val="00E7135F"/>
    <w:rsid w:val="00E715E8"/>
    <w:rsid w:val="00E758AA"/>
    <w:rsid w:val="00E760D0"/>
    <w:rsid w:val="00E91BC4"/>
    <w:rsid w:val="00E91F55"/>
    <w:rsid w:val="00E941B4"/>
    <w:rsid w:val="00E97559"/>
    <w:rsid w:val="00EA1EF8"/>
    <w:rsid w:val="00EA272F"/>
    <w:rsid w:val="00EA4525"/>
    <w:rsid w:val="00EA5286"/>
    <w:rsid w:val="00EA6DAF"/>
    <w:rsid w:val="00EB039B"/>
    <w:rsid w:val="00EB2A2A"/>
    <w:rsid w:val="00EB3A99"/>
    <w:rsid w:val="00EB46A1"/>
    <w:rsid w:val="00EB5695"/>
    <w:rsid w:val="00EB5A2B"/>
    <w:rsid w:val="00EC0C7B"/>
    <w:rsid w:val="00EC14D8"/>
    <w:rsid w:val="00EC5E52"/>
    <w:rsid w:val="00ED0C1F"/>
    <w:rsid w:val="00ED5CD9"/>
    <w:rsid w:val="00ED70DE"/>
    <w:rsid w:val="00ED7A3C"/>
    <w:rsid w:val="00EE0DA5"/>
    <w:rsid w:val="00EE3846"/>
    <w:rsid w:val="00EE47B5"/>
    <w:rsid w:val="00EE63F7"/>
    <w:rsid w:val="00EE68B3"/>
    <w:rsid w:val="00EE7124"/>
    <w:rsid w:val="00EF3FA9"/>
    <w:rsid w:val="00EF5870"/>
    <w:rsid w:val="00EF7FD4"/>
    <w:rsid w:val="00F019A9"/>
    <w:rsid w:val="00F02925"/>
    <w:rsid w:val="00F03B06"/>
    <w:rsid w:val="00F0403B"/>
    <w:rsid w:val="00F1441D"/>
    <w:rsid w:val="00F14A41"/>
    <w:rsid w:val="00F16F77"/>
    <w:rsid w:val="00F1729F"/>
    <w:rsid w:val="00F2343B"/>
    <w:rsid w:val="00F23E3F"/>
    <w:rsid w:val="00F25B0E"/>
    <w:rsid w:val="00F26820"/>
    <w:rsid w:val="00F27FA0"/>
    <w:rsid w:val="00F27FE4"/>
    <w:rsid w:val="00F30F31"/>
    <w:rsid w:val="00F3513C"/>
    <w:rsid w:val="00F3608A"/>
    <w:rsid w:val="00F37C73"/>
    <w:rsid w:val="00F403E9"/>
    <w:rsid w:val="00F45B57"/>
    <w:rsid w:val="00F61471"/>
    <w:rsid w:val="00F61689"/>
    <w:rsid w:val="00F61D16"/>
    <w:rsid w:val="00F65907"/>
    <w:rsid w:val="00F71A35"/>
    <w:rsid w:val="00F75AC0"/>
    <w:rsid w:val="00F80A02"/>
    <w:rsid w:val="00F80FEC"/>
    <w:rsid w:val="00F837BA"/>
    <w:rsid w:val="00F918C1"/>
    <w:rsid w:val="00F9329C"/>
    <w:rsid w:val="00F9560A"/>
    <w:rsid w:val="00F97602"/>
    <w:rsid w:val="00FA0A58"/>
    <w:rsid w:val="00FA1545"/>
    <w:rsid w:val="00FA566B"/>
    <w:rsid w:val="00FB0D31"/>
    <w:rsid w:val="00FB4CB3"/>
    <w:rsid w:val="00FB6B66"/>
    <w:rsid w:val="00FB713A"/>
    <w:rsid w:val="00FB7E9B"/>
    <w:rsid w:val="00FC7AFA"/>
    <w:rsid w:val="00FD0A46"/>
    <w:rsid w:val="00FE35F1"/>
    <w:rsid w:val="00FE37B9"/>
    <w:rsid w:val="00FE3D87"/>
    <w:rsid w:val="00FE4AED"/>
    <w:rsid w:val="00FE51DC"/>
    <w:rsid w:val="00FE525D"/>
    <w:rsid w:val="00FE666C"/>
    <w:rsid w:val="00FF0574"/>
    <w:rsid w:val="00FF14EF"/>
    <w:rsid w:val="00FF27EF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71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C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E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3F5E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5E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3F5EC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5EC8"/>
    <w:pPr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3F5EC8"/>
    <w:pPr>
      <w:spacing w:line="270" w:lineRule="atLeast"/>
    </w:pPr>
    <w:rPr>
      <w:rFonts w:ascii="Tahoma" w:eastAsia="Times New Roman" w:hAnsi="Tahoma" w:cs="Tahoma"/>
      <w:color w:val="666666"/>
      <w:sz w:val="17"/>
      <w:szCs w:val="17"/>
      <w:lang w:eastAsia="pl-PL"/>
    </w:rPr>
  </w:style>
  <w:style w:type="character" w:styleId="Hyperlink">
    <w:name w:val="Hyperlink"/>
    <w:basedOn w:val="DefaultParagraphFont"/>
    <w:uiPriority w:val="99"/>
    <w:rsid w:val="003F5E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5E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4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4E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594E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4E26"/>
    <w:rPr>
      <w:rFonts w:ascii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E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4E26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C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CF7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1C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F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F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E3C"/>
    <w:pPr>
      <w:autoSpaceDE w:val="0"/>
      <w:autoSpaceDN w:val="0"/>
      <w:adjustRightInd w:val="0"/>
      <w:spacing w:after="0" w:line="240" w:lineRule="auto"/>
    </w:pPr>
    <w:rPr>
      <w:rFonts w:ascii="ParkSerif TextMedium" w:hAnsi="ParkSerif TextMedium" w:cs="ParkSerif TextMedium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0216"/>
    <w:rPr>
      <w:i/>
      <w:iCs/>
    </w:rPr>
  </w:style>
  <w:style w:type="character" w:customStyle="1" w:styleId="apple-converted-space">
    <w:name w:val="apple-converted-space"/>
    <w:basedOn w:val="DefaultParagraphFont"/>
    <w:rsid w:val="008102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3F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53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39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39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DB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C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1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E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3F5EC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5E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3F5EC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5EC8"/>
    <w:pPr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3F5EC8"/>
    <w:pPr>
      <w:spacing w:line="270" w:lineRule="atLeast"/>
    </w:pPr>
    <w:rPr>
      <w:rFonts w:ascii="Tahoma" w:eastAsia="Times New Roman" w:hAnsi="Tahoma" w:cs="Tahoma"/>
      <w:color w:val="666666"/>
      <w:sz w:val="17"/>
      <w:szCs w:val="17"/>
      <w:lang w:eastAsia="pl-PL"/>
    </w:rPr>
  </w:style>
  <w:style w:type="character" w:styleId="Hyperlink">
    <w:name w:val="Hyperlink"/>
    <w:basedOn w:val="DefaultParagraphFont"/>
    <w:uiPriority w:val="99"/>
    <w:rsid w:val="003F5EC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F5EC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4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94E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594E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4E26"/>
    <w:rPr>
      <w:rFonts w:ascii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E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4E26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C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CF7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1CF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F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F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E3C"/>
    <w:pPr>
      <w:autoSpaceDE w:val="0"/>
      <w:autoSpaceDN w:val="0"/>
      <w:adjustRightInd w:val="0"/>
      <w:spacing w:after="0" w:line="240" w:lineRule="auto"/>
    </w:pPr>
    <w:rPr>
      <w:rFonts w:ascii="ParkSerif TextMedium" w:hAnsi="ParkSerif TextMedium" w:cs="ParkSerif TextMedium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10216"/>
    <w:rPr>
      <w:i/>
      <w:iCs/>
    </w:rPr>
  </w:style>
  <w:style w:type="character" w:customStyle="1" w:styleId="apple-converted-space">
    <w:name w:val="apple-converted-space"/>
    <w:basedOn w:val="DefaultParagraphFont"/>
    <w:rsid w:val="008102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3F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53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39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39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1D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pw.pl/analiz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styna.rachanska@gpw.pl" TargetMode="External"/><Relationship Id="rId2" Type="http://schemas.openxmlformats.org/officeDocument/2006/relationships/hyperlink" Target="mailto:agata.nalecz@gpw.pl" TargetMode="External"/><Relationship Id="rId1" Type="http://schemas.openxmlformats.org/officeDocument/2006/relationships/hyperlink" Target="mailto:press@gpw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styna.rachanska@gpw.pl" TargetMode="External"/><Relationship Id="rId2" Type="http://schemas.openxmlformats.org/officeDocument/2006/relationships/hyperlink" Target="mailto:agata.nalecz@gpw.pl" TargetMode="External"/><Relationship Id="rId1" Type="http://schemas.openxmlformats.org/officeDocument/2006/relationships/hyperlink" Target="mailto:press@gp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zialowy\dysk\DSA\STAT_DAIS\Analizy\20150108%20Udzia&#322;%20inwestor&#243;w%20w%20obrotach\2015%20P2%20Udzia&#322;y%20201602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zialowy\dysk\DSA\STAT_DAIS\Analizy\20150108%20Udzia&#322;%20inwestor&#243;w%20w%20obrotach\2015%20P2%20Udzia&#322;y%20201602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zialowy\dysk\DSA\STAT_DAIS\Analizy\20150108%20Udzia&#322;%20inwestor&#243;w%20w%20obrotach\2015%20P2%20Udzia&#322;y%20201602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zialowy\dysk\DSA\STAT_DAIS\Analizy\20150108%20Udzia&#322;%20inwestor&#243;w%20w%20obrotach\2015%20P2%20Udzia&#322;y%20201602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1"/>
          <c:h val="0.737532808398949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Chrt!$B$2</c:f>
              <c:strCache>
                <c:ptCount val="1"/>
                <c:pt idx="0">
                  <c:v>Zagraniczni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Chrt!$C$2:$J$2</c:f>
              <c:numCache>
                <c:formatCode>0%</c:formatCode>
                <c:ptCount val="8"/>
                <c:pt idx="0">
                  <c:v>0.43</c:v>
                </c:pt>
                <c:pt idx="1">
                  <c:v>0.36</c:v>
                </c:pt>
                <c:pt idx="2">
                  <c:v>0.46719675473324102</c:v>
                </c:pt>
                <c:pt idx="3">
                  <c:v>0.47</c:v>
                </c:pt>
                <c:pt idx="4">
                  <c:v>0.48</c:v>
                </c:pt>
                <c:pt idx="5">
                  <c:v>0.47031219547425601</c:v>
                </c:pt>
                <c:pt idx="6">
                  <c:v>0.48842840662493497</c:v>
                </c:pt>
                <c:pt idx="7">
                  <c:v>0.51811819615768395</c:v>
                </c:pt>
              </c:numCache>
            </c:numRef>
          </c:val>
        </c:ser>
        <c:ser>
          <c:idx val="1"/>
          <c:order val="1"/>
          <c:tx>
            <c:strRef>
              <c:f>Chrt!$B$3</c:f>
              <c:strCache>
                <c:ptCount val="1"/>
                <c:pt idx="0">
                  <c:v>Indywidualni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Chrt!$C$3:$J$3</c:f>
              <c:numCache>
                <c:formatCode>0%</c:formatCode>
                <c:ptCount val="8"/>
                <c:pt idx="0">
                  <c:v>0.18</c:v>
                </c:pt>
                <c:pt idx="1">
                  <c:v>0.27</c:v>
                </c:pt>
                <c:pt idx="2">
                  <c:v>0.194934495134573</c:v>
                </c:pt>
                <c:pt idx="3">
                  <c:v>0.18</c:v>
                </c:pt>
                <c:pt idx="4">
                  <c:v>0.18</c:v>
                </c:pt>
                <c:pt idx="5">
                  <c:v>0.149843902262872</c:v>
                </c:pt>
                <c:pt idx="6">
                  <c:v>0.13085959580585499</c:v>
                </c:pt>
                <c:pt idx="7">
                  <c:v>0.118875179837901</c:v>
                </c:pt>
              </c:numCache>
            </c:numRef>
          </c:val>
        </c:ser>
        <c:ser>
          <c:idx val="2"/>
          <c:order val="2"/>
          <c:tx>
            <c:strRef>
              <c:f>Chrt!$B$4</c:f>
              <c:strCache>
                <c:ptCount val="1"/>
                <c:pt idx="0">
                  <c:v>Instytucjonalni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Chrt!$C$4:$J$4</c:f>
              <c:numCache>
                <c:formatCode>0%</c:formatCode>
                <c:ptCount val="8"/>
                <c:pt idx="0">
                  <c:v>0.39</c:v>
                </c:pt>
                <c:pt idx="1">
                  <c:v>0.37</c:v>
                </c:pt>
                <c:pt idx="2">
                  <c:v>0.33786875013218698</c:v>
                </c:pt>
                <c:pt idx="3">
                  <c:v>0.35</c:v>
                </c:pt>
                <c:pt idx="4">
                  <c:v>0.34</c:v>
                </c:pt>
                <c:pt idx="5">
                  <c:v>0.37984390226287201</c:v>
                </c:pt>
                <c:pt idx="6">
                  <c:v>0.38071199756920998</c:v>
                </c:pt>
                <c:pt idx="7">
                  <c:v>0.36300662400441602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266899840"/>
        <c:axId val="266901376"/>
      </c:barChart>
      <c:catAx>
        <c:axId val="26689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en-US"/>
          </a:p>
        </c:txPr>
        <c:crossAx val="266901376"/>
        <c:crosses val="autoZero"/>
        <c:auto val="1"/>
        <c:lblAlgn val="ctr"/>
        <c:lblOffset val="100"/>
        <c:noMultiLvlLbl val="0"/>
      </c:catAx>
      <c:valAx>
        <c:axId val="26690137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668998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932050160396602E-2"/>
          <c:y val="0.88371361250298297"/>
          <c:w val="0.89999990254693896"/>
          <c:h val="9.9294522830798704E-2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1"/>
          <c:h val="0.737532808398949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Chrt!$B$7</c:f>
              <c:strCache>
                <c:ptCount val="1"/>
                <c:pt idx="0">
                  <c:v>Zagraniczni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4.2437781360066702E-18"/>
                  <c:y val="-3.7878787878787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9502250880533E-17"/>
                  <c:y val="-4.4191919191919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9502250880533E-17"/>
                  <c:y val="-3.7878787878787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1565656565656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Chrt!$C$7:$J$7</c:f>
              <c:numCache>
                <c:formatCode>0%</c:formatCode>
                <c:ptCount val="8"/>
                <c:pt idx="0">
                  <c:v>0.02</c:v>
                </c:pt>
                <c:pt idx="1">
                  <c:v>0.02</c:v>
                </c:pt>
                <c:pt idx="2">
                  <c:v>2.4336260833888901E-2</c:v>
                </c:pt>
                <c:pt idx="3">
                  <c:v>0.03</c:v>
                </c:pt>
                <c:pt idx="4">
                  <c:v>0.1</c:v>
                </c:pt>
                <c:pt idx="5">
                  <c:v>7.0000000000000007E-2</c:v>
                </c:pt>
                <c:pt idx="6">
                  <c:v>7.3589595882248907E-2</c:v>
                </c:pt>
                <c:pt idx="7">
                  <c:v>6.3140237690503004E-2</c:v>
                </c:pt>
              </c:numCache>
            </c:numRef>
          </c:val>
        </c:ser>
        <c:ser>
          <c:idx val="1"/>
          <c:order val="1"/>
          <c:tx>
            <c:strRef>
              <c:f>Chrt!$B$8</c:f>
              <c:strCache>
                <c:ptCount val="1"/>
                <c:pt idx="0">
                  <c:v>Indywidualni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Chrt!$C$8:$J$8</c:f>
              <c:numCache>
                <c:formatCode>0%</c:formatCode>
                <c:ptCount val="8"/>
                <c:pt idx="0">
                  <c:v>0.92</c:v>
                </c:pt>
                <c:pt idx="1">
                  <c:v>0.88</c:v>
                </c:pt>
                <c:pt idx="2">
                  <c:v>0.87236422380634904</c:v>
                </c:pt>
                <c:pt idx="3">
                  <c:v>0.77</c:v>
                </c:pt>
                <c:pt idx="4">
                  <c:v>0.73</c:v>
                </c:pt>
                <c:pt idx="5">
                  <c:v>0.68690647099201296</c:v>
                </c:pt>
                <c:pt idx="6">
                  <c:v>0.70257133422329299</c:v>
                </c:pt>
                <c:pt idx="7">
                  <c:v>0.74612683267104796</c:v>
                </c:pt>
              </c:numCache>
            </c:numRef>
          </c:val>
        </c:ser>
        <c:ser>
          <c:idx val="2"/>
          <c:order val="2"/>
          <c:tx>
            <c:strRef>
              <c:f>Chrt!$B$9</c:f>
              <c:strCache>
                <c:ptCount val="1"/>
                <c:pt idx="0">
                  <c:v>Instytucjonalni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Chrt!$C$9:$J$9</c:f>
              <c:numCache>
                <c:formatCode>0%</c:formatCode>
                <c:ptCount val="8"/>
                <c:pt idx="0">
                  <c:v>0.06</c:v>
                </c:pt>
                <c:pt idx="1">
                  <c:v>0.1</c:v>
                </c:pt>
                <c:pt idx="2">
                  <c:v>0.10572683214523799</c:v>
                </c:pt>
                <c:pt idx="3">
                  <c:v>0.2</c:v>
                </c:pt>
                <c:pt idx="4">
                  <c:v>0.17</c:v>
                </c:pt>
                <c:pt idx="5">
                  <c:v>0.243093529007987</c:v>
                </c:pt>
                <c:pt idx="6">
                  <c:v>0.225139069894459</c:v>
                </c:pt>
                <c:pt idx="7">
                  <c:v>0.19193292963844899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266924032"/>
        <c:axId val="266925568"/>
      </c:barChart>
      <c:catAx>
        <c:axId val="266924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en-US"/>
          </a:p>
        </c:txPr>
        <c:crossAx val="266925568"/>
        <c:crosses val="autoZero"/>
        <c:auto val="1"/>
        <c:lblAlgn val="ctr"/>
        <c:lblOffset val="100"/>
        <c:noMultiLvlLbl val="0"/>
      </c:catAx>
      <c:valAx>
        <c:axId val="26692556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66924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932050160396602E-2"/>
          <c:y val="0.88371361250298297"/>
          <c:w val="0.89999990254693896"/>
          <c:h val="9.9294522830798704E-2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1"/>
          <c:h val="0.737532808398949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Chrt!$B$12</c:f>
              <c:strCache>
                <c:ptCount val="1"/>
                <c:pt idx="0">
                  <c:v>Zagraniczni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Chrt!$C$12:$J$12</c:f>
              <c:numCache>
                <c:formatCode>0%</c:formatCode>
                <c:ptCount val="8"/>
                <c:pt idx="0">
                  <c:v>0.1</c:v>
                </c:pt>
                <c:pt idx="1">
                  <c:v>0.11</c:v>
                </c:pt>
                <c:pt idx="2">
                  <c:v>0.13747909650784099</c:v>
                </c:pt>
                <c:pt idx="3">
                  <c:v>0.16</c:v>
                </c:pt>
                <c:pt idx="4">
                  <c:v>0.17</c:v>
                </c:pt>
                <c:pt idx="5">
                  <c:v>0.169585602977117</c:v>
                </c:pt>
                <c:pt idx="6">
                  <c:v>0.17318366551811001</c:v>
                </c:pt>
                <c:pt idx="7">
                  <c:v>0.15356902876133299</c:v>
                </c:pt>
              </c:numCache>
            </c:numRef>
          </c:val>
        </c:ser>
        <c:ser>
          <c:idx val="1"/>
          <c:order val="1"/>
          <c:tx>
            <c:strRef>
              <c:f>Chrt!$B$13</c:f>
              <c:strCache>
                <c:ptCount val="1"/>
                <c:pt idx="0">
                  <c:v>Indywidualni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Chrt!$C$13:$J$13</c:f>
              <c:numCache>
                <c:formatCode>0%</c:formatCode>
                <c:ptCount val="8"/>
                <c:pt idx="0">
                  <c:v>0.53</c:v>
                </c:pt>
                <c:pt idx="1">
                  <c:v>0.52</c:v>
                </c:pt>
                <c:pt idx="2">
                  <c:v>0.49815112936519901</c:v>
                </c:pt>
                <c:pt idx="3">
                  <c:v>0.46</c:v>
                </c:pt>
                <c:pt idx="4">
                  <c:v>0.47</c:v>
                </c:pt>
                <c:pt idx="5">
                  <c:v>0.50479280148855898</c:v>
                </c:pt>
                <c:pt idx="6">
                  <c:v>0.45578410728284602</c:v>
                </c:pt>
                <c:pt idx="7">
                  <c:v>0.46649490740268601</c:v>
                </c:pt>
              </c:numCache>
            </c:numRef>
          </c:val>
        </c:ser>
        <c:ser>
          <c:idx val="2"/>
          <c:order val="2"/>
          <c:tx>
            <c:strRef>
              <c:f>Chrt!$B$14</c:f>
              <c:strCache>
                <c:ptCount val="1"/>
                <c:pt idx="0">
                  <c:v>Instytucjonalni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Chrt!$C$14:$J$14</c:f>
              <c:numCache>
                <c:formatCode>0%</c:formatCode>
                <c:ptCount val="8"/>
                <c:pt idx="0">
                  <c:v>0.37</c:v>
                </c:pt>
                <c:pt idx="1">
                  <c:v>0.37</c:v>
                </c:pt>
                <c:pt idx="2">
                  <c:v>0.36436977412695998</c:v>
                </c:pt>
                <c:pt idx="3">
                  <c:v>0.38</c:v>
                </c:pt>
                <c:pt idx="4">
                  <c:v>0.36</c:v>
                </c:pt>
                <c:pt idx="5">
                  <c:v>0.32562159553432501</c:v>
                </c:pt>
                <c:pt idx="6">
                  <c:v>0.371032227199044</c:v>
                </c:pt>
                <c:pt idx="7">
                  <c:v>0.379936063835981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267153408"/>
        <c:axId val="267154944"/>
      </c:barChart>
      <c:catAx>
        <c:axId val="26715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en-US"/>
          </a:p>
        </c:txPr>
        <c:crossAx val="267154944"/>
        <c:crosses val="autoZero"/>
        <c:auto val="1"/>
        <c:lblAlgn val="ctr"/>
        <c:lblOffset val="100"/>
        <c:noMultiLvlLbl val="0"/>
      </c:catAx>
      <c:valAx>
        <c:axId val="26715494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67153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932050160396602E-2"/>
          <c:y val="0.88371361250298297"/>
          <c:w val="0.89999990254693896"/>
          <c:h val="9.9294522830798704E-2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0"/>
          <c:w val="1"/>
          <c:h val="0.7375328083989499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Chrt!$B$17</c:f>
              <c:strCache>
                <c:ptCount val="1"/>
                <c:pt idx="0">
                  <c:v>Zagraniczni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-3.39502250880533E-17"/>
                  <c:y val="-3.7878787878787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Chrt!$C$17:$J$17</c:f>
              <c:numCache>
                <c:formatCode>0%</c:formatCode>
                <c:ptCount val="8"/>
                <c:pt idx="0">
                  <c:v>0.12</c:v>
                </c:pt>
                <c:pt idx="1">
                  <c:v>0.04</c:v>
                </c:pt>
                <c:pt idx="2">
                  <c:v>0.119273148859289</c:v>
                </c:pt>
                <c:pt idx="3">
                  <c:v>0.24</c:v>
                </c:pt>
                <c:pt idx="4">
                  <c:v>0.11</c:v>
                </c:pt>
                <c:pt idx="5">
                  <c:v>0.174866372714304</c:v>
                </c:pt>
                <c:pt idx="6">
                  <c:v>8.0648347452888597E-2</c:v>
                </c:pt>
                <c:pt idx="7">
                  <c:v>0.11927097073066099</c:v>
                </c:pt>
              </c:numCache>
            </c:numRef>
          </c:val>
        </c:ser>
        <c:ser>
          <c:idx val="1"/>
          <c:order val="1"/>
          <c:tx>
            <c:strRef>
              <c:f>Chrt!$B$18</c:f>
              <c:strCache>
                <c:ptCount val="1"/>
                <c:pt idx="0">
                  <c:v>Indywidualni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Chrt!$C$18:$J$18</c:f>
              <c:numCache>
                <c:formatCode>0%</c:formatCode>
                <c:ptCount val="8"/>
                <c:pt idx="0">
                  <c:v>0.57999999999999996</c:v>
                </c:pt>
                <c:pt idx="1">
                  <c:v>0.65</c:v>
                </c:pt>
                <c:pt idx="2">
                  <c:v>0.60409143607411198</c:v>
                </c:pt>
                <c:pt idx="3">
                  <c:v>0.64</c:v>
                </c:pt>
                <c:pt idx="4">
                  <c:v>0.5</c:v>
                </c:pt>
                <c:pt idx="5">
                  <c:v>0.36505726883672701</c:v>
                </c:pt>
                <c:pt idx="6">
                  <c:v>0.47380973084947497</c:v>
                </c:pt>
                <c:pt idx="7">
                  <c:v>0.46917701948398699</c:v>
                </c:pt>
              </c:numCache>
            </c:numRef>
          </c:val>
        </c:ser>
        <c:ser>
          <c:idx val="2"/>
          <c:order val="2"/>
          <c:tx>
            <c:strRef>
              <c:f>Chrt!$B$19</c:f>
              <c:strCache>
                <c:ptCount val="1"/>
                <c:pt idx="0">
                  <c:v>Instytucjonalni</c:v>
                </c:pt>
              </c:strCache>
            </c:strRef>
          </c:tx>
          <c:spPr>
            <a:solidFill>
              <a:schemeClr val="accent5">
                <a:lumMod val="20000"/>
                <a:lumOff val="80000"/>
              </a:schemeClr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Chrt!$C$1:$J$1</c:f>
              <c:numCache>
                <c:formatCode>General</c:formatCode>
                <c:ptCount val="8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</c:numCache>
            </c:numRef>
          </c:cat>
          <c:val>
            <c:numRef>
              <c:f>Chrt!$C$19:$J$19</c:f>
              <c:numCache>
                <c:formatCode>0%</c:formatCode>
                <c:ptCount val="8"/>
                <c:pt idx="0">
                  <c:v>0.3</c:v>
                </c:pt>
                <c:pt idx="1">
                  <c:v>0.31</c:v>
                </c:pt>
                <c:pt idx="2">
                  <c:v>0.276635415066599</c:v>
                </c:pt>
                <c:pt idx="3">
                  <c:v>0.12</c:v>
                </c:pt>
                <c:pt idx="4">
                  <c:v>0.39</c:v>
                </c:pt>
                <c:pt idx="5">
                  <c:v>0.46007635844896899</c:v>
                </c:pt>
                <c:pt idx="6">
                  <c:v>0.44554192169763601</c:v>
                </c:pt>
                <c:pt idx="7">
                  <c:v>0.411552009785352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overlap val="100"/>
        <c:axId val="267182080"/>
        <c:axId val="267183616"/>
      </c:barChart>
      <c:catAx>
        <c:axId val="26718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en-US"/>
          </a:p>
        </c:txPr>
        <c:crossAx val="267183616"/>
        <c:crosses val="autoZero"/>
        <c:auto val="1"/>
        <c:lblAlgn val="ctr"/>
        <c:lblOffset val="100"/>
        <c:noMultiLvlLbl val="0"/>
      </c:catAx>
      <c:valAx>
        <c:axId val="26718361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2671820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932050160396602E-2"/>
          <c:y val="0.88371361250298297"/>
          <c:w val="0.89999990254693896"/>
          <c:h val="9.9294522830798704E-2"/>
        </c:manualLayout>
      </c:layout>
      <c:overlay val="0"/>
      <c:txPr>
        <a:bodyPr/>
        <a:lstStyle/>
        <a:p>
          <a:pPr>
            <a:defRPr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28A2-7C1F-4AA6-A5C9-CD961273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Pronińska Anna</dc:creator>
  <cp:lastModifiedBy>Marina Bellin</cp:lastModifiedBy>
  <cp:revision>2</cp:revision>
  <cp:lastPrinted>2015-12-15T12:45:00Z</cp:lastPrinted>
  <dcterms:created xsi:type="dcterms:W3CDTF">2016-02-25T13:28:00Z</dcterms:created>
  <dcterms:modified xsi:type="dcterms:W3CDTF">2016-02-25T13:28:00Z</dcterms:modified>
</cp:coreProperties>
</file>