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AD" w:rsidRDefault="00FF7658" w:rsidP="005E009A">
      <w:pPr>
        <w:jc w:val="both"/>
        <w:rPr>
          <w:lang w:val="en-US"/>
        </w:rPr>
      </w:pPr>
      <w:r>
        <w:rPr>
          <w:noProof/>
          <w:lang w:eastAsia="en-GB"/>
        </w:rPr>
        <w:drawing>
          <wp:anchor distT="0" distB="0" distL="114300" distR="114300" simplePos="0" relativeHeight="251657728" behindDoc="0" locked="0" layoutInCell="1" allowOverlap="1">
            <wp:simplePos x="0" y="0"/>
            <wp:positionH relativeFrom="column">
              <wp:posOffset>1348105</wp:posOffset>
            </wp:positionH>
            <wp:positionV relativeFrom="paragraph">
              <wp:align>top</wp:align>
            </wp:positionV>
            <wp:extent cx="3343910" cy="556895"/>
            <wp:effectExtent l="19050" t="0" r="8890" b="0"/>
            <wp:wrapSquare wrapText="bothSides"/>
            <wp:docPr id="6" name="Immagine 0" descr="logo_no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nopayoff.jpg"/>
                    <pic:cNvPicPr>
                      <a:picLocks noChangeAspect="1" noChangeArrowheads="1"/>
                    </pic:cNvPicPr>
                  </pic:nvPicPr>
                  <pic:blipFill>
                    <a:blip r:embed="rId8" cstate="print"/>
                    <a:srcRect/>
                    <a:stretch>
                      <a:fillRect/>
                    </a:stretch>
                  </pic:blipFill>
                  <pic:spPr bwMode="auto">
                    <a:xfrm>
                      <a:off x="0" y="0"/>
                      <a:ext cx="3343910" cy="556895"/>
                    </a:xfrm>
                    <a:prstGeom prst="rect">
                      <a:avLst/>
                    </a:prstGeom>
                    <a:noFill/>
                    <a:ln w="9525">
                      <a:noFill/>
                      <a:miter lim="800000"/>
                      <a:headEnd/>
                      <a:tailEnd/>
                    </a:ln>
                  </pic:spPr>
                </pic:pic>
              </a:graphicData>
            </a:graphic>
          </wp:anchor>
        </w:drawing>
      </w:r>
      <w:r w:rsidR="00C60C6E">
        <w:rPr>
          <w:lang w:val="en-US"/>
        </w:rPr>
        <w:br w:type="textWrapping" w:clear="all"/>
      </w:r>
    </w:p>
    <w:p w:rsidR="00376F0F" w:rsidRPr="00376F0F" w:rsidRDefault="00376F0F" w:rsidP="005E009A">
      <w:pPr>
        <w:jc w:val="both"/>
        <w:rPr>
          <w:sz w:val="28"/>
          <w:szCs w:val="28"/>
          <w:lang w:val="en-US"/>
        </w:rPr>
      </w:pPr>
      <w:r w:rsidRPr="00376F0F">
        <w:rPr>
          <w:sz w:val="28"/>
          <w:szCs w:val="28"/>
          <w:lang w:val="en-US"/>
        </w:rPr>
        <w:t>PRESS RELEASE</w:t>
      </w:r>
    </w:p>
    <w:p w:rsidR="00376F0F" w:rsidRDefault="00376F0F" w:rsidP="005E009A">
      <w:pPr>
        <w:jc w:val="both"/>
        <w:rPr>
          <w:lang w:val="en-US"/>
        </w:rPr>
      </w:pPr>
    </w:p>
    <w:p w:rsidR="00BA403C" w:rsidRPr="00376F0F" w:rsidRDefault="00677B63" w:rsidP="005E009A">
      <w:pPr>
        <w:jc w:val="both"/>
        <w:rPr>
          <w:b/>
          <w:lang w:val="en-US"/>
        </w:rPr>
      </w:pPr>
      <w:r>
        <w:rPr>
          <w:b/>
          <w:lang w:val="en-US"/>
        </w:rPr>
        <w:t xml:space="preserve">Italian </w:t>
      </w:r>
      <w:r w:rsidR="00E91437">
        <w:rPr>
          <w:b/>
          <w:lang w:val="en-US"/>
        </w:rPr>
        <w:t>Fund Selectors Survey</w:t>
      </w:r>
      <w:r w:rsidR="00E91437" w:rsidRPr="00376F0F">
        <w:rPr>
          <w:b/>
          <w:lang w:val="en-US"/>
        </w:rPr>
        <w:t xml:space="preserve">- </w:t>
      </w:r>
      <w:proofErr w:type="spellStart"/>
      <w:r w:rsidR="00E91437" w:rsidRPr="00376F0F">
        <w:rPr>
          <w:b/>
          <w:lang w:val="en-US"/>
        </w:rPr>
        <w:t>Mondoalternative</w:t>
      </w:r>
      <w:proofErr w:type="spellEnd"/>
    </w:p>
    <w:p w:rsidR="00BA403C" w:rsidRDefault="00BA403C" w:rsidP="005E009A">
      <w:pPr>
        <w:jc w:val="both"/>
        <w:rPr>
          <w:lang w:val="en-US"/>
        </w:rPr>
      </w:pPr>
    </w:p>
    <w:p w:rsidR="00C54EF7" w:rsidRDefault="00C54EF7" w:rsidP="005E009A">
      <w:pPr>
        <w:jc w:val="both"/>
        <w:rPr>
          <w:lang w:val="en-US"/>
        </w:rPr>
      </w:pPr>
      <w:r>
        <w:rPr>
          <w:lang w:val="en-US"/>
        </w:rPr>
        <w:t xml:space="preserve">(Milan, </w:t>
      </w:r>
      <w:r w:rsidR="00677B63">
        <w:rPr>
          <w:lang w:val="en-US"/>
        </w:rPr>
        <w:t>24</w:t>
      </w:r>
      <w:r w:rsidR="009F7091">
        <w:rPr>
          <w:vertAlign w:val="superscript"/>
          <w:lang w:val="en-US"/>
        </w:rPr>
        <w:t>th</w:t>
      </w:r>
      <w:r>
        <w:rPr>
          <w:lang w:val="en-US"/>
        </w:rPr>
        <w:t xml:space="preserve"> of </w:t>
      </w:r>
      <w:r w:rsidR="00677B63">
        <w:rPr>
          <w:lang w:val="en-US"/>
        </w:rPr>
        <w:t>January</w:t>
      </w:r>
      <w:r>
        <w:rPr>
          <w:lang w:val="en-US"/>
        </w:rPr>
        <w:t>, 201</w:t>
      </w:r>
      <w:r w:rsidR="00677B63">
        <w:rPr>
          <w:lang w:val="en-US"/>
        </w:rPr>
        <w:t>4</w:t>
      </w:r>
      <w:r>
        <w:rPr>
          <w:lang w:val="en-US"/>
        </w:rPr>
        <w:t xml:space="preserve">) – </w:t>
      </w:r>
      <w:r w:rsidRPr="00345126">
        <w:rPr>
          <w:b/>
          <w:u w:val="single"/>
          <w:lang w:val="en-US"/>
        </w:rPr>
        <w:t>Main findings</w:t>
      </w:r>
    </w:p>
    <w:p w:rsidR="00C54EF7" w:rsidRDefault="00C54EF7" w:rsidP="005E009A">
      <w:pPr>
        <w:jc w:val="both"/>
        <w:rPr>
          <w:lang w:val="en-US"/>
        </w:rPr>
      </w:pPr>
    </w:p>
    <w:p w:rsidR="00677B63" w:rsidRDefault="00D238BF" w:rsidP="005E009A">
      <w:pPr>
        <w:jc w:val="both"/>
        <w:rPr>
          <w:lang w:val="en-US"/>
        </w:rPr>
      </w:pPr>
      <w:bookmarkStart w:id="0" w:name="_GoBack"/>
      <w:r>
        <w:rPr>
          <w:lang w:val="en-US"/>
        </w:rPr>
        <w:t>T</w:t>
      </w:r>
      <w:r w:rsidRPr="00D238BF">
        <w:rPr>
          <w:lang w:val="en-US"/>
        </w:rPr>
        <w:t>he first survey conducted</w:t>
      </w:r>
      <w:r>
        <w:rPr>
          <w:lang w:val="en-US"/>
        </w:rPr>
        <w:t xml:space="preserve"> by the Research department of </w:t>
      </w:r>
      <w:proofErr w:type="spellStart"/>
      <w:r w:rsidRPr="00D238BF">
        <w:rPr>
          <w:lang w:val="en-US"/>
        </w:rPr>
        <w:t>MondoAlternative</w:t>
      </w:r>
      <w:proofErr w:type="spellEnd"/>
      <w:r w:rsidRPr="00D238BF">
        <w:rPr>
          <w:lang w:val="en-US"/>
        </w:rPr>
        <w:t xml:space="preserve"> </w:t>
      </w:r>
      <w:r>
        <w:rPr>
          <w:lang w:val="en-US"/>
        </w:rPr>
        <w:t xml:space="preserve">considered </w:t>
      </w:r>
      <w:r w:rsidRPr="00D238BF">
        <w:rPr>
          <w:lang w:val="en-US"/>
        </w:rPr>
        <w:t>5</w:t>
      </w:r>
      <w:r w:rsidR="003939BA">
        <w:rPr>
          <w:lang w:val="en-US"/>
        </w:rPr>
        <w:t>3</w:t>
      </w:r>
      <w:r w:rsidRPr="00D238BF">
        <w:rPr>
          <w:lang w:val="en-US"/>
        </w:rPr>
        <w:t xml:space="preserve"> f</w:t>
      </w:r>
      <w:r>
        <w:rPr>
          <w:lang w:val="en-US"/>
        </w:rPr>
        <w:t xml:space="preserve">und selectors managing, or with </w:t>
      </w:r>
      <w:r w:rsidRPr="00D238BF">
        <w:rPr>
          <w:lang w:val="en-US"/>
        </w:rPr>
        <w:t xml:space="preserve">assets under </w:t>
      </w:r>
      <w:r>
        <w:rPr>
          <w:lang w:val="en-US"/>
        </w:rPr>
        <w:t>advisory, over EUR 48</w:t>
      </w:r>
      <w:r w:rsidR="003939BA">
        <w:rPr>
          <w:lang w:val="en-US"/>
        </w:rPr>
        <w:t>0</w:t>
      </w:r>
      <w:r>
        <w:rPr>
          <w:lang w:val="en-US"/>
        </w:rPr>
        <w:t xml:space="preserve"> billion: </w:t>
      </w:r>
      <w:r w:rsidRPr="00D238BF">
        <w:rPr>
          <w:lang w:val="en-US"/>
        </w:rPr>
        <w:t>of which E</w:t>
      </w:r>
      <w:r>
        <w:rPr>
          <w:lang w:val="en-US"/>
        </w:rPr>
        <w:t xml:space="preserve">UR 268.1 billion are managed by </w:t>
      </w:r>
      <w:r w:rsidRPr="00D238BF">
        <w:rPr>
          <w:lang w:val="en-US"/>
        </w:rPr>
        <w:t>asset</w:t>
      </w:r>
      <w:r>
        <w:rPr>
          <w:lang w:val="en-US"/>
        </w:rPr>
        <w:t xml:space="preserve"> management companies, EUR 66.4 </w:t>
      </w:r>
      <w:r w:rsidRPr="00D238BF">
        <w:rPr>
          <w:lang w:val="en-US"/>
        </w:rPr>
        <w:t>billion refers to fa</w:t>
      </w:r>
      <w:r>
        <w:rPr>
          <w:lang w:val="en-US"/>
        </w:rPr>
        <w:t xml:space="preserve">mily offices and financial intermediaries </w:t>
      </w:r>
      <w:r w:rsidRPr="00D238BF">
        <w:rPr>
          <w:lang w:val="en-US"/>
        </w:rPr>
        <w:t>(SIM)</w:t>
      </w:r>
      <w:r w:rsidR="003939BA">
        <w:rPr>
          <w:lang w:val="en-US"/>
        </w:rPr>
        <w:t xml:space="preserve">, while EUR 81.8 billion refers </w:t>
      </w:r>
      <w:r w:rsidRPr="00D238BF">
        <w:rPr>
          <w:lang w:val="en-US"/>
        </w:rPr>
        <w:t>to priv</w:t>
      </w:r>
      <w:r w:rsidR="000B78E2">
        <w:rPr>
          <w:lang w:val="en-US"/>
        </w:rPr>
        <w:t>ate bankers and wealth managers.</w:t>
      </w:r>
    </w:p>
    <w:bookmarkEnd w:id="0"/>
    <w:p w:rsidR="00677B63" w:rsidRDefault="00677B63" w:rsidP="005E009A">
      <w:pPr>
        <w:jc w:val="both"/>
        <w:rPr>
          <w:lang w:val="en-US"/>
        </w:rPr>
      </w:pPr>
    </w:p>
    <w:p w:rsidR="003939BA" w:rsidRDefault="003939BA" w:rsidP="005E009A">
      <w:pPr>
        <w:pStyle w:val="ListParagraph"/>
        <w:numPr>
          <w:ilvl w:val="0"/>
          <w:numId w:val="6"/>
        </w:numPr>
        <w:jc w:val="both"/>
      </w:pPr>
      <w:r>
        <w:t>fund selectors entrust the management of EUR 104.4 billion to external asset management companies: EUR 23.8 billion on behalf of asset managers, EUR 5.1 billion on behalf of family offices and SIMs, EUR 26.8 billion on behalf of private bankers and wealth managers and the remaining EUR 48.7 billion on behalf of insurance companies, bank foundations, pension funds and bank proprietary desks.</w:t>
      </w:r>
    </w:p>
    <w:p w:rsidR="000B78E2" w:rsidRDefault="000B78E2" w:rsidP="005E009A">
      <w:pPr>
        <w:jc w:val="both"/>
      </w:pPr>
    </w:p>
    <w:p w:rsidR="000B78E2" w:rsidRDefault="005E009A" w:rsidP="005E009A">
      <w:pPr>
        <w:jc w:val="both"/>
      </w:pPr>
      <w:r>
        <w:t>“</w:t>
      </w:r>
      <w:r w:rsidR="003939BA">
        <w:t>As what concerns the investment styles, it is worth noticing that there is only one case where fund selectors prefers a direct investment in stocks or bonds rather than investing in funds, ETFs or funds of funds</w:t>
      </w:r>
      <w:r>
        <w:t xml:space="preserve">”, Stefano </w:t>
      </w:r>
      <w:proofErr w:type="spellStart"/>
      <w:r>
        <w:t>Gaspari</w:t>
      </w:r>
      <w:proofErr w:type="spellEnd"/>
      <w:r>
        <w:t xml:space="preserve">, CEO of </w:t>
      </w:r>
      <w:proofErr w:type="spellStart"/>
      <w:r>
        <w:t>MondoAlternative</w:t>
      </w:r>
      <w:proofErr w:type="spellEnd"/>
      <w:r>
        <w:t xml:space="preserve"> says</w:t>
      </w:r>
      <w:r w:rsidR="003939BA">
        <w:t xml:space="preserve">. According to the survey, 77.6% (multiple choice permitted) of the surveyed invest directly in the developed sovereign debt markets, while the 65.3% gain exposure to this asset class through investment funds, 4.1% use funds of funds and 38.8% utilize ETFs. On </w:t>
      </w:r>
      <w:proofErr w:type="gramStart"/>
      <w:r w:rsidR="003939BA">
        <w:t>the</w:t>
      </w:r>
      <w:proofErr w:type="gramEnd"/>
      <w:r w:rsidR="003939BA">
        <w:t xml:space="preserve"> other hand, fund selectors massively use investment funds (97.9%) to invest in emerging markets equities, while only 8.5% prefer funds of funds and 46.8% select an ETF; direct investment in emerging markets equities stops at 21.3%. Even in the case of investments in hedge funds and absolute return products, fund selectors </w:t>
      </w:r>
      <w:proofErr w:type="spellStart"/>
      <w:r w:rsidR="003939BA">
        <w:t>favor</w:t>
      </w:r>
      <w:proofErr w:type="spellEnd"/>
      <w:r w:rsidR="003939BA">
        <w:t xml:space="preserve"> investment funds (97.6% of respondents) and funds of funds (21.4%) rather than ETFs (2.4%). Moreover, fund selectors use funds (95.5%) to invest in emerging markets corporate debt, 20.5% select ETFs, 13.6% direct investment and 4.5% funds of funds</w:t>
      </w:r>
      <w:r w:rsidR="003E70B2">
        <w:t xml:space="preserve"> (see chart 1)</w:t>
      </w:r>
      <w:r w:rsidR="003939BA">
        <w:t xml:space="preserve">. </w:t>
      </w:r>
    </w:p>
    <w:p w:rsidR="000B78E2" w:rsidRDefault="000B78E2" w:rsidP="005E009A">
      <w:pPr>
        <w:jc w:val="both"/>
      </w:pPr>
    </w:p>
    <w:p w:rsidR="000B78E2" w:rsidRPr="000B78E2" w:rsidRDefault="000B78E2" w:rsidP="005E009A">
      <w:pPr>
        <w:jc w:val="both"/>
        <w:rPr>
          <w:b/>
        </w:rPr>
      </w:pPr>
      <w:r w:rsidRPr="000B78E2">
        <w:rPr>
          <w:b/>
        </w:rPr>
        <w:t>Ways used by Italian fund selectors to access different asset classes / investments</w:t>
      </w:r>
    </w:p>
    <w:p w:rsidR="000B78E2" w:rsidRDefault="000B78E2" w:rsidP="005E009A">
      <w:pPr>
        <w:jc w:val="both"/>
      </w:pPr>
      <w:r w:rsidRPr="000B78E2">
        <w:rPr>
          <w:noProof/>
          <w:lang w:eastAsia="en-GB"/>
        </w:rPr>
        <w:drawing>
          <wp:inline distT="0" distB="0" distL="0" distR="0">
            <wp:extent cx="6120130" cy="2447961"/>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20130" cy="2447961"/>
                    </a:xfrm>
                    <a:prstGeom prst="rect">
                      <a:avLst/>
                    </a:prstGeom>
                    <a:noFill/>
                    <a:ln w="9525">
                      <a:noFill/>
                      <a:miter lim="800000"/>
                      <a:headEnd/>
                      <a:tailEnd/>
                    </a:ln>
                  </pic:spPr>
                </pic:pic>
              </a:graphicData>
            </a:graphic>
          </wp:inline>
        </w:drawing>
      </w:r>
    </w:p>
    <w:p w:rsidR="000B78E2" w:rsidRPr="00473B26" w:rsidRDefault="000B78E2" w:rsidP="005E009A">
      <w:pPr>
        <w:jc w:val="both"/>
        <w:rPr>
          <w:sz w:val="20"/>
          <w:szCs w:val="20"/>
          <w:lang w:val="en-US"/>
        </w:rPr>
      </w:pPr>
      <w:r w:rsidRPr="00473B26">
        <w:rPr>
          <w:i/>
          <w:sz w:val="20"/>
          <w:szCs w:val="20"/>
          <w:lang w:val="en-US"/>
        </w:rPr>
        <w:t xml:space="preserve">Source: </w:t>
      </w:r>
      <w:r w:rsidRPr="000B78E2">
        <w:rPr>
          <w:i/>
          <w:sz w:val="20"/>
          <w:szCs w:val="20"/>
          <w:lang w:val="en-US"/>
        </w:rPr>
        <w:t xml:space="preserve">Fund selector survey 2013, </w:t>
      </w:r>
      <w:proofErr w:type="spellStart"/>
      <w:r w:rsidRPr="000B78E2">
        <w:rPr>
          <w:i/>
          <w:sz w:val="20"/>
          <w:szCs w:val="20"/>
          <w:lang w:val="en-US"/>
        </w:rPr>
        <w:t>MondoAlternative</w:t>
      </w:r>
      <w:proofErr w:type="spellEnd"/>
      <w:r w:rsidRPr="000B78E2">
        <w:rPr>
          <w:i/>
          <w:sz w:val="20"/>
          <w:szCs w:val="20"/>
          <w:lang w:val="en-US"/>
        </w:rPr>
        <w:t>.</w:t>
      </w:r>
      <w:r w:rsidRPr="00473B26">
        <w:rPr>
          <w:sz w:val="20"/>
          <w:szCs w:val="20"/>
          <w:lang w:val="en-US"/>
        </w:rPr>
        <w:tab/>
      </w:r>
      <w:r w:rsidRPr="00473B26">
        <w:rPr>
          <w:sz w:val="20"/>
          <w:szCs w:val="20"/>
          <w:lang w:val="en-US"/>
        </w:rPr>
        <w:tab/>
      </w:r>
      <w:r w:rsidRPr="00473B26">
        <w:rPr>
          <w:sz w:val="20"/>
          <w:szCs w:val="20"/>
          <w:lang w:val="en-US"/>
        </w:rPr>
        <w:tab/>
      </w:r>
      <w:r w:rsidRPr="00473B26">
        <w:rPr>
          <w:sz w:val="20"/>
          <w:szCs w:val="20"/>
          <w:lang w:val="en-US"/>
        </w:rPr>
        <w:tab/>
      </w:r>
      <w:r>
        <w:rPr>
          <w:sz w:val="20"/>
          <w:szCs w:val="20"/>
          <w:lang w:val="en-US"/>
        </w:rPr>
        <w:tab/>
      </w:r>
      <w:r w:rsidRPr="00473B26">
        <w:rPr>
          <w:sz w:val="20"/>
          <w:szCs w:val="20"/>
          <w:lang w:val="en-US"/>
        </w:rPr>
        <w:tab/>
      </w:r>
      <w:r w:rsidRPr="00473B26">
        <w:rPr>
          <w:i/>
          <w:sz w:val="20"/>
          <w:szCs w:val="20"/>
          <w:lang w:val="en-US"/>
        </w:rPr>
        <w:t>Chart 1</w:t>
      </w:r>
    </w:p>
    <w:p w:rsidR="000B78E2" w:rsidRPr="000B78E2" w:rsidRDefault="000B78E2" w:rsidP="005E009A">
      <w:pPr>
        <w:jc w:val="both"/>
        <w:rPr>
          <w:lang w:val="en-US"/>
        </w:rPr>
      </w:pPr>
    </w:p>
    <w:p w:rsidR="000B78E2" w:rsidRDefault="005E009A" w:rsidP="005E009A">
      <w:pPr>
        <w:jc w:val="both"/>
      </w:pPr>
      <w:r>
        <w:t>“C</w:t>
      </w:r>
      <w:r w:rsidR="000B78E2">
        <w:t xml:space="preserve">oncerning emerging markets sovereign debt, we can observe that 91.8% of fund selectors gain exposure to this asset class via funds, followed by ETFs (30.6%) and funds of funds (6.1%) while a direct investment is </w:t>
      </w:r>
      <w:r w:rsidR="000B78E2">
        <w:lastRenderedPageBreak/>
        <w:t>used by the 26.5% of the sample. The figures highlight the importance of ETFs when fund selectors assume position in the developed markets equities (64.7%</w:t>
      </w:r>
      <w:proofErr w:type="gramStart"/>
      <w:r w:rsidR="000B78E2">
        <w:t>), that</w:t>
      </w:r>
      <w:proofErr w:type="gramEnd"/>
      <w:r w:rsidR="000B78E2">
        <w:t xml:space="preserve"> prevail on direct investments (56.9%); however, is still lower than investments via funds (90.2%). On the other hand, funds selectors prefer to invest in funds of funds, more than they do for other asset classes, when they</w:t>
      </w:r>
      <w:r>
        <w:t xml:space="preserve"> want to gain access to private </w:t>
      </w:r>
      <w:r w:rsidR="000B78E2">
        <w:t>equity/venture capital funds (33.3%); direct investments are selected by the 16.7% of the respondents and specialized funds by the 72.2%</w:t>
      </w:r>
      <w:r>
        <w:t xml:space="preserve">”, </w:t>
      </w:r>
      <w:proofErr w:type="spellStart"/>
      <w:r>
        <w:t>Gaspari</w:t>
      </w:r>
      <w:proofErr w:type="spellEnd"/>
      <w:r>
        <w:t xml:space="preserve"> underlines</w:t>
      </w:r>
      <w:r w:rsidR="000B78E2">
        <w:t>.</w:t>
      </w:r>
    </w:p>
    <w:p w:rsidR="000B78E2" w:rsidRDefault="000B78E2" w:rsidP="005E009A">
      <w:pPr>
        <w:jc w:val="both"/>
      </w:pPr>
    </w:p>
    <w:p w:rsidR="000B78E2" w:rsidRPr="003E70B2" w:rsidRDefault="000B78E2" w:rsidP="005E009A">
      <w:pPr>
        <w:jc w:val="both"/>
        <w:rPr>
          <w:u w:val="single"/>
        </w:rPr>
      </w:pPr>
      <w:r w:rsidRPr="003E70B2">
        <w:rPr>
          <w:u w:val="single"/>
        </w:rPr>
        <w:t>Third party funds or ETFs</w:t>
      </w:r>
    </w:p>
    <w:p w:rsidR="003939BA" w:rsidRDefault="000B78E2" w:rsidP="005E009A">
      <w:pPr>
        <w:jc w:val="both"/>
      </w:pPr>
      <w:r>
        <w:t>Staying on the theme of investments in private equit</w:t>
      </w:r>
      <w:r w:rsidR="003E70B2">
        <w:t xml:space="preserve">y/venture capital, it turns out </w:t>
      </w:r>
      <w:r>
        <w:t>that, considerin</w:t>
      </w:r>
      <w:r w:rsidR="003E70B2">
        <w:t xml:space="preserve">g the exposure of the portfolio </w:t>
      </w:r>
      <w:r>
        <w:t>in which the fund selector only</w:t>
      </w:r>
      <w:r w:rsidR="003E70B2">
        <w:t xml:space="preserve"> use </w:t>
      </w:r>
      <w:r>
        <w:t>third-pa</w:t>
      </w:r>
      <w:r w:rsidR="003E70B2">
        <w:t xml:space="preserve">rty funds, they have a share of 75%, along with investments in hedge </w:t>
      </w:r>
      <w:r>
        <w:t>fun</w:t>
      </w:r>
      <w:r w:rsidR="003E70B2">
        <w:t xml:space="preserve">ds and absolute return products </w:t>
      </w:r>
      <w:r>
        <w:t xml:space="preserve">(82.8%) </w:t>
      </w:r>
      <w:r w:rsidR="003E70B2">
        <w:t xml:space="preserve">and those in emerging corporate </w:t>
      </w:r>
      <w:r>
        <w:t>bonds (74.1 %)</w:t>
      </w:r>
      <w:r w:rsidR="003E70B2">
        <w:t xml:space="preserve">. The exclusive use of external </w:t>
      </w:r>
      <w:r>
        <w:t xml:space="preserve">ETFs is </w:t>
      </w:r>
      <w:r w:rsidR="003E70B2">
        <w:t xml:space="preserve">greater in the case of property </w:t>
      </w:r>
      <w:r>
        <w:t>(21.4%) devel</w:t>
      </w:r>
      <w:r w:rsidR="003E70B2">
        <w:t xml:space="preserve">oped stocks (12.9%) and in </w:t>
      </w:r>
      <w:r>
        <w:t>d</w:t>
      </w:r>
      <w:r w:rsidR="003E70B2">
        <w:t xml:space="preserve">eveloped sovereign bonds (12%). </w:t>
      </w:r>
      <w:r>
        <w:t>As for the</w:t>
      </w:r>
      <w:r w:rsidR="003E70B2">
        <w:t xml:space="preserve"> combined use of external funds </w:t>
      </w:r>
      <w:r>
        <w:t xml:space="preserve">and ETFs, </w:t>
      </w:r>
      <w:r w:rsidR="003E70B2">
        <w:t xml:space="preserve">the highest percentage reported </w:t>
      </w:r>
      <w:r>
        <w:t>by fund</w:t>
      </w:r>
      <w:r w:rsidR="003E70B2">
        <w:t xml:space="preserve"> selectors regards the emerging </w:t>
      </w:r>
      <w:r>
        <w:t>stocks</w:t>
      </w:r>
      <w:r w:rsidR="003E70B2">
        <w:t xml:space="preserve"> (52.9%), followed by developed </w:t>
      </w:r>
      <w:r>
        <w:t>sovereign bonds (52%) and developed</w:t>
      </w:r>
      <w:r w:rsidR="005E009A">
        <w:t xml:space="preserve"> equities (51.6%, see chart 2</w:t>
      </w:r>
      <w:r w:rsidR="003E70B2">
        <w:t>).</w:t>
      </w:r>
    </w:p>
    <w:p w:rsidR="003E70B2" w:rsidRDefault="003E70B2" w:rsidP="005E009A">
      <w:pPr>
        <w:jc w:val="both"/>
      </w:pPr>
    </w:p>
    <w:p w:rsidR="003E70B2" w:rsidRPr="000B78E2" w:rsidRDefault="003E70B2" w:rsidP="005E009A">
      <w:pPr>
        <w:jc w:val="both"/>
        <w:rPr>
          <w:b/>
        </w:rPr>
      </w:pPr>
      <w:r>
        <w:rPr>
          <w:b/>
        </w:rPr>
        <w:t>The investments into third party funds and ETFs for different asset classes</w:t>
      </w:r>
    </w:p>
    <w:p w:rsidR="003E70B2" w:rsidRDefault="003E70B2" w:rsidP="005E009A">
      <w:pPr>
        <w:jc w:val="both"/>
      </w:pPr>
      <w:r w:rsidRPr="003E70B2">
        <w:rPr>
          <w:noProof/>
          <w:lang w:eastAsia="en-GB"/>
        </w:rPr>
        <w:drawing>
          <wp:inline distT="0" distB="0" distL="0" distR="0">
            <wp:extent cx="5185373" cy="3231734"/>
            <wp:effectExtent l="1905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188534" cy="3233704"/>
                    </a:xfrm>
                    <a:prstGeom prst="rect">
                      <a:avLst/>
                    </a:prstGeom>
                    <a:noFill/>
                    <a:ln w="9525">
                      <a:noFill/>
                      <a:miter lim="800000"/>
                      <a:headEnd/>
                      <a:tailEnd/>
                    </a:ln>
                  </pic:spPr>
                </pic:pic>
              </a:graphicData>
            </a:graphic>
          </wp:inline>
        </w:drawing>
      </w:r>
    </w:p>
    <w:p w:rsidR="003E70B2" w:rsidRPr="00473B26" w:rsidRDefault="003E70B2" w:rsidP="005E009A">
      <w:pPr>
        <w:jc w:val="both"/>
        <w:rPr>
          <w:sz w:val="20"/>
          <w:szCs w:val="20"/>
          <w:lang w:val="en-US"/>
        </w:rPr>
      </w:pPr>
      <w:r w:rsidRPr="00473B26">
        <w:rPr>
          <w:i/>
          <w:sz w:val="20"/>
          <w:szCs w:val="20"/>
          <w:lang w:val="en-US"/>
        </w:rPr>
        <w:t xml:space="preserve">Source: </w:t>
      </w:r>
      <w:r w:rsidRPr="000B78E2">
        <w:rPr>
          <w:i/>
          <w:sz w:val="20"/>
          <w:szCs w:val="20"/>
          <w:lang w:val="en-US"/>
        </w:rPr>
        <w:t xml:space="preserve">Fund selector survey 2013, </w:t>
      </w:r>
      <w:proofErr w:type="spellStart"/>
      <w:r w:rsidRPr="000B78E2">
        <w:rPr>
          <w:i/>
          <w:sz w:val="20"/>
          <w:szCs w:val="20"/>
          <w:lang w:val="en-US"/>
        </w:rPr>
        <w:t>MondoAlternative</w:t>
      </w:r>
      <w:proofErr w:type="spellEnd"/>
      <w:r w:rsidRPr="000B78E2">
        <w:rPr>
          <w:i/>
          <w:sz w:val="20"/>
          <w:szCs w:val="20"/>
          <w:lang w:val="en-US"/>
        </w:rPr>
        <w:t>.</w:t>
      </w:r>
      <w:r w:rsidRPr="00473B26">
        <w:rPr>
          <w:sz w:val="20"/>
          <w:szCs w:val="20"/>
          <w:lang w:val="en-US"/>
        </w:rPr>
        <w:tab/>
      </w:r>
      <w:r w:rsidRPr="00473B26">
        <w:rPr>
          <w:sz w:val="20"/>
          <w:szCs w:val="20"/>
          <w:lang w:val="en-US"/>
        </w:rPr>
        <w:tab/>
      </w:r>
      <w:r w:rsidRPr="00473B26">
        <w:rPr>
          <w:sz w:val="20"/>
          <w:szCs w:val="20"/>
          <w:lang w:val="en-US"/>
        </w:rPr>
        <w:tab/>
      </w:r>
      <w:r w:rsidRPr="00473B26">
        <w:rPr>
          <w:sz w:val="20"/>
          <w:szCs w:val="20"/>
          <w:lang w:val="en-US"/>
        </w:rPr>
        <w:tab/>
      </w:r>
      <w:r>
        <w:rPr>
          <w:sz w:val="20"/>
          <w:szCs w:val="20"/>
          <w:lang w:val="en-US"/>
        </w:rPr>
        <w:tab/>
      </w:r>
      <w:r w:rsidRPr="00473B26">
        <w:rPr>
          <w:sz w:val="20"/>
          <w:szCs w:val="20"/>
          <w:lang w:val="en-US"/>
        </w:rPr>
        <w:tab/>
      </w:r>
      <w:r w:rsidRPr="00473B26">
        <w:rPr>
          <w:i/>
          <w:sz w:val="20"/>
          <w:szCs w:val="20"/>
          <w:lang w:val="en-US"/>
        </w:rPr>
        <w:t xml:space="preserve">Chart </w:t>
      </w:r>
      <w:r>
        <w:rPr>
          <w:i/>
          <w:sz w:val="20"/>
          <w:szCs w:val="20"/>
          <w:lang w:val="en-US"/>
        </w:rPr>
        <w:t>2</w:t>
      </w:r>
    </w:p>
    <w:p w:rsidR="003E70B2" w:rsidRDefault="003E70B2" w:rsidP="005E009A">
      <w:pPr>
        <w:jc w:val="both"/>
      </w:pPr>
    </w:p>
    <w:p w:rsidR="003E70B2" w:rsidRDefault="003E70B2" w:rsidP="005E009A">
      <w:pPr>
        <w:jc w:val="both"/>
      </w:pPr>
    </w:p>
    <w:p w:rsidR="003E70B2" w:rsidRDefault="003E70B2" w:rsidP="005E009A">
      <w:pPr>
        <w:jc w:val="both"/>
        <w:rPr>
          <w:u w:val="single"/>
        </w:rPr>
      </w:pPr>
    </w:p>
    <w:p w:rsidR="001E6C92" w:rsidRDefault="001E6C92" w:rsidP="005E009A">
      <w:pPr>
        <w:jc w:val="both"/>
        <w:rPr>
          <w:u w:val="single"/>
        </w:rPr>
      </w:pPr>
    </w:p>
    <w:p w:rsidR="003E70B2" w:rsidRPr="003E70B2" w:rsidRDefault="003E70B2" w:rsidP="005E009A">
      <w:pPr>
        <w:jc w:val="both"/>
        <w:rPr>
          <w:u w:val="single"/>
        </w:rPr>
      </w:pPr>
      <w:r>
        <w:rPr>
          <w:u w:val="single"/>
        </w:rPr>
        <w:t>C</w:t>
      </w:r>
      <w:r w:rsidRPr="003E70B2">
        <w:rPr>
          <w:u w:val="single"/>
        </w:rPr>
        <w:t>onstraints</w:t>
      </w:r>
    </w:p>
    <w:p w:rsidR="001E6C92" w:rsidRDefault="003E70B2" w:rsidP="005E009A">
      <w:pPr>
        <w:jc w:val="both"/>
      </w:pPr>
      <w:r>
        <w:t xml:space="preserve">The survey also examined the level of minimum assets a fund should have, wondering if there were any restrictions in this regard. </w:t>
      </w:r>
      <w:r w:rsidR="005E009A">
        <w:t>“</w:t>
      </w:r>
      <w:r>
        <w:t>Survey results show that 34% of the total fund selector said they did not have any constraint while 30.2 % admitted to prefer products with an AUM between 50 and 100 Euro million . A percentage of 17% of the respondents revealed that the selected funds shall have assets under management between 25 and 50 Euro million</w:t>
      </w:r>
      <w:r w:rsidR="005E009A">
        <w:t xml:space="preserve">”, </w:t>
      </w:r>
      <w:proofErr w:type="spellStart"/>
      <w:r w:rsidR="005E009A">
        <w:t>Gaspari</w:t>
      </w:r>
      <w:proofErr w:type="spellEnd"/>
      <w:r w:rsidR="005E009A">
        <w:t xml:space="preserve"> outlines,</w:t>
      </w:r>
      <w:r>
        <w:t xml:space="preserve"> and another 17% indicated, as preferred, the range between 100 and </w:t>
      </w:r>
      <w:r w:rsidR="005E009A">
        <w:t>250 Euro million (see chart 3). “</w:t>
      </w:r>
      <w:r w:rsidR="001E6C92">
        <w:t xml:space="preserve">If the attention moves to the selected fund management companies, 54.7% of the fund selectors </w:t>
      </w:r>
      <w:proofErr w:type="gramStart"/>
      <w:r w:rsidR="001E6C92">
        <w:t>refers</w:t>
      </w:r>
      <w:proofErr w:type="gramEnd"/>
      <w:r w:rsidR="001E6C92">
        <w:t xml:space="preserve"> to have no constraints. In contrast , 22.6% of respondents pointed to prefer a management company with assets of between 100 and 500 Euro million, while a 9.4% of the sample has attested to proceed with the selection of the fund only if the investment house manages between 1 and 5 Euro billion</w:t>
      </w:r>
      <w:r w:rsidR="005E009A">
        <w:t xml:space="preserve">” </w:t>
      </w:r>
      <w:proofErr w:type="spellStart"/>
      <w:r w:rsidR="005E009A">
        <w:t>Gaspari</w:t>
      </w:r>
      <w:proofErr w:type="spellEnd"/>
      <w:r w:rsidR="005E009A">
        <w:t xml:space="preserve"> says</w:t>
      </w:r>
      <w:r w:rsidR="001E6C92">
        <w:t>.</w:t>
      </w:r>
    </w:p>
    <w:p w:rsidR="003E70B2" w:rsidRDefault="003E70B2" w:rsidP="005E009A">
      <w:pPr>
        <w:jc w:val="both"/>
      </w:pPr>
    </w:p>
    <w:p w:rsidR="003E70B2" w:rsidRDefault="003E70B2" w:rsidP="005E009A">
      <w:pPr>
        <w:jc w:val="both"/>
      </w:pPr>
      <w:r w:rsidRPr="003E70B2">
        <w:rPr>
          <w:b/>
        </w:rPr>
        <w:lastRenderedPageBreak/>
        <w:t>Minimum assets a fund should have to be chosen by fund selectors</w:t>
      </w:r>
    </w:p>
    <w:p w:rsidR="003E70B2" w:rsidRDefault="003E70B2" w:rsidP="005E009A">
      <w:pPr>
        <w:jc w:val="both"/>
      </w:pPr>
    </w:p>
    <w:p w:rsidR="003E70B2" w:rsidRDefault="003E70B2" w:rsidP="005E009A">
      <w:pPr>
        <w:jc w:val="both"/>
      </w:pPr>
      <w:r w:rsidRPr="003E70B2">
        <w:rPr>
          <w:noProof/>
          <w:lang w:eastAsia="en-GB"/>
        </w:rPr>
        <w:drawing>
          <wp:inline distT="0" distB="0" distL="0" distR="0">
            <wp:extent cx="3429919" cy="2604604"/>
            <wp:effectExtent l="19050" t="0" r="0" b="0"/>
            <wp:docPr id="1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433305" cy="2607175"/>
                    </a:xfrm>
                    <a:prstGeom prst="rect">
                      <a:avLst/>
                    </a:prstGeom>
                    <a:noFill/>
                    <a:ln w="9525">
                      <a:noFill/>
                      <a:miter lim="800000"/>
                      <a:headEnd/>
                      <a:tailEnd/>
                    </a:ln>
                  </pic:spPr>
                </pic:pic>
              </a:graphicData>
            </a:graphic>
          </wp:inline>
        </w:drawing>
      </w:r>
    </w:p>
    <w:p w:rsidR="003E70B2" w:rsidRPr="00473B26" w:rsidRDefault="003E70B2" w:rsidP="005E009A">
      <w:pPr>
        <w:jc w:val="both"/>
        <w:rPr>
          <w:sz w:val="20"/>
          <w:szCs w:val="20"/>
          <w:lang w:val="en-US"/>
        </w:rPr>
      </w:pPr>
      <w:r w:rsidRPr="00473B26">
        <w:rPr>
          <w:i/>
          <w:sz w:val="20"/>
          <w:szCs w:val="20"/>
          <w:lang w:val="en-US"/>
        </w:rPr>
        <w:t xml:space="preserve">Source: </w:t>
      </w:r>
      <w:r w:rsidRPr="000B78E2">
        <w:rPr>
          <w:i/>
          <w:sz w:val="20"/>
          <w:szCs w:val="20"/>
          <w:lang w:val="en-US"/>
        </w:rPr>
        <w:t xml:space="preserve">Fund selector survey 2013, </w:t>
      </w:r>
      <w:proofErr w:type="spellStart"/>
      <w:r w:rsidRPr="000B78E2">
        <w:rPr>
          <w:i/>
          <w:sz w:val="20"/>
          <w:szCs w:val="20"/>
          <w:lang w:val="en-US"/>
        </w:rPr>
        <w:t>MondoAlternative</w:t>
      </w:r>
      <w:proofErr w:type="spellEnd"/>
      <w:r w:rsidRPr="000B78E2">
        <w:rPr>
          <w:i/>
          <w:sz w:val="20"/>
          <w:szCs w:val="20"/>
          <w:lang w:val="en-US"/>
        </w:rPr>
        <w:t>.</w:t>
      </w:r>
      <w:r w:rsidRPr="00473B26">
        <w:rPr>
          <w:sz w:val="20"/>
          <w:szCs w:val="20"/>
          <w:lang w:val="en-US"/>
        </w:rPr>
        <w:tab/>
      </w:r>
      <w:r w:rsidRPr="00473B26">
        <w:rPr>
          <w:sz w:val="20"/>
          <w:szCs w:val="20"/>
          <w:lang w:val="en-US"/>
        </w:rPr>
        <w:tab/>
      </w:r>
      <w:r w:rsidRPr="00473B26">
        <w:rPr>
          <w:sz w:val="20"/>
          <w:szCs w:val="20"/>
          <w:lang w:val="en-US"/>
        </w:rPr>
        <w:tab/>
      </w:r>
      <w:r w:rsidRPr="00473B26">
        <w:rPr>
          <w:sz w:val="20"/>
          <w:szCs w:val="20"/>
          <w:lang w:val="en-US"/>
        </w:rPr>
        <w:tab/>
      </w:r>
      <w:r>
        <w:rPr>
          <w:sz w:val="20"/>
          <w:szCs w:val="20"/>
          <w:lang w:val="en-US"/>
        </w:rPr>
        <w:tab/>
      </w:r>
      <w:r w:rsidRPr="00473B26">
        <w:rPr>
          <w:sz w:val="20"/>
          <w:szCs w:val="20"/>
          <w:lang w:val="en-US"/>
        </w:rPr>
        <w:tab/>
      </w:r>
      <w:r w:rsidRPr="00473B26">
        <w:rPr>
          <w:i/>
          <w:sz w:val="20"/>
          <w:szCs w:val="20"/>
          <w:lang w:val="en-US"/>
        </w:rPr>
        <w:t xml:space="preserve">Chart </w:t>
      </w:r>
      <w:r>
        <w:rPr>
          <w:i/>
          <w:sz w:val="20"/>
          <w:szCs w:val="20"/>
          <w:lang w:val="en-US"/>
        </w:rPr>
        <w:t>3</w:t>
      </w:r>
    </w:p>
    <w:p w:rsidR="003E70B2" w:rsidRDefault="003E70B2" w:rsidP="005E009A">
      <w:pPr>
        <w:jc w:val="both"/>
      </w:pPr>
    </w:p>
    <w:p w:rsidR="003E70B2" w:rsidRDefault="003E70B2" w:rsidP="005E009A">
      <w:pPr>
        <w:jc w:val="both"/>
      </w:pPr>
    </w:p>
    <w:p w:rsidR="001E6C92" w:rsidRPr="001E6C92" w:rsidRDefault="001E6C92" w:rsidP="005E009A">
      <w:pPr>
        <w:jc w:val="both"/>
        <w:rPr>
          <w:u w:val="single"/>
        </w:rPr>
      </w:pPr>
      <w:r w:rsidRPr="001E6C92">
        <w:rPr>
          <w:u w:val="single"/>
        </w:rPr>
        <w:t>Track record and due diligence</w:t>
      </w:r>
    </w:p>
    <w:p w:rsidR="001E6C92" w:rsidRPr="001E6C92" w:rsidRDefault="001E6C92" w:rsidP="005E009A">
      <w:pPr>
        <w:jc w:val="both"/>
      </w:pPr>
      <w:r w:rsidRPr="001E6C92">
        <w:t>Before cho</w:t>
      </w:r>
      <w:r>
        <w:t xml:space="preserve">osing which fund to bet on, the </w:t>
      </w:r>
      <w:r w:rsidRPr="001E6C92">
        <w:t>fund sele</w:t>
      </w:r>
      <w:r>
        <w:t xml:space="preserve">ctor performs the due diligence </w:t>
      </w:r>
      <w:r w:rsidRPr="001E6C92">
        <w:t>and an analys</w:t>
      </w:r>
      <w:r>
        <w:t xml:space="preserve">is of the track record. </w:t>
      </w:r>
      <w:r w:rsidR="005E009A">
        <w:t>“</w:t>
      </w:r>
      <w:r>
        <w:t xml:space="preserve">The due </w:t>
      </w:r>
      <w:r w:rsidRPr="001E6C92">
        <w:t>diligence process ta</w:t>
      </w:r>
      <w:r>
        <w:t xml:space="preserve">kes an average of less </w:t>
      </w:r>
      <w:r w:rsidRPr="001E6C92">
        <w:t xml:space="preserve">than three </w:t>
      </w:r>
      <w:r>
        <w:t xml:space="preserve">months for 53.7% of the sample, </w:t>
      </w:r>
      <w:r w:rsidRPr="001E6C92">
        <w:t>or b</w:t>
      </w:r>
      <w:r>
        <w:t xml:space="preserve">etween 3 and 6 months for 42.6% </w:t>
      </w:r>
      <w:r w:rsidRPr="001E6C92">
        <w:t>of the fun</w:t>
      </w:r>
      <w:r>
        <w:t xml:space="preserve">d selectors: only the remaining </w:t>
      </w:r>
      <w:r w:rsidRPr="001E6C92">
        <w:t>3.7% said</w:t>
      </w:r>
      <w:r>
        <w:t xml:space="preserve"> the timetable ranges between 6 </w:t>
      </w:r>
      <w:r w:rsidRPr="001E6C92">
        <w:t>and 9 months</w:t>
      </w:r>
      <w:r w:rsidR="005E009A">
        <w:t xml:space="preserve">” </w:t>
      </w:r>
      <w:proofErr w:type="spellStart"/>
      <w:r w:rsidR="005E009A">
        <w:t>Gaspari</w:t>
      </w:r>
      <w:proofErr w:type="spellEnd"/>
      <w:r w:rsidR="005E009A">
        <w:t xml:space="preserve"> underlines</w:t>
      </w:r>
      <w:r w:rsidRPr="001E6C92">
        <w:t>.</w:t>
      </w:r>
      <w:r>
        <w:t xml:space="preserve"> </w:t>
      </w:r>
      <w:r w:rsidRPr="001E6C92">
        <w:t>Concerning, instead, the minimum track</w:t>
      </w:r>
      <w:r>
        <w:t xml:space="preserve"> </w:t>
      </w:r>
      <w:r w:rsidRPr="001E6C92">
        <w:t>record a fund shou</w:t>
      </w:r>
      <w:r>
        <w:t xml:space="preserve">ld have in order to be </w:t>
      </w:r>
      <w:r w:rsidRPr="001E6C92">
        <w:t xml:space="preserve">investible, </w:t>
      </w:r>
      <w:r>
        <w:t xml:space="preserve">38.9% of the fund selectors opt </w:t>
      </w:r>
      <w:r w:rsidRPr="001E6C92">
        <w:t>for the c</w:t>
      </w:r>
      <w:r>
        <w:t xml:space="preserve">lassic three years, while 18.5% </w:t>
      </w:r>
      <w:r w:rsidRPr="001E6C92">
        <w:t xml:space="preserve">needs at </w:t>
      </w:r>
      <w:r>
        <w:t xml:space="preserve">least 24 months and 11.1% of at </w:t>
      </w:r>
      <w:r w:rsidRPr="001E6C92">
        <w:t>least one year</w:t>
      </w:r>
      <w:r>
        <w:t xml:space="preserve">: 22.2% of the sample examined, however, does not require any </w:t>
      </w:r>
      <w:r w:rsidRPr="001E6C92">
        <w:t>minimum</w:t>
      </w:r>
      <w:r>
        <w:t xml:space="preserve"> </w:t>
      </w:r>
      <w:r w:rsidRPr="001E6C92">
        <w:t>track record for the fund to be subscribed</w:t>
      </w:r>
      <w:r>
        <w:t xml:space="preserve"> </w:t>
      </w:r>
      <w:r w:rsidR="005E009A">
        <w:t>(</w:t>
      </w:r>
      <w:r>
        <w:t>see chart 4)</w:t>
      </w:r>
      <w:r w:rsidRPr="001E6C92">
        <w:t>.</w:t>
      </w:r>
      <w:r>
        <w:t xml:space="preserve"> </w:t>
      </w:r>
      <w:r w:rsidRPr="001E6C92">
        <w:t>Wh</w:t>
      </w:r>
      <w:r>
        <w:t xml:space="preserve">at is the average ticket of the </w:t>
      </w:r>
      <w:r w:rsidRPr="001E6C92">
        <w:t xml:space="preserve">first investment </w:t>
      </w:r>
      <w:proofErr w:type="gramStart"/>
      <w:r w:rsidRPr="001E6C92">
        <w:t>into a fund by fund selec</w:t>
      </w:r>
      <w:r>
        <w:t>tors</w:t>
      </w:r>
      <w:proofErr w:type="gramEnd"/>
      <w:r>
        <w:t>? For 76.5% of the sample it is less than 5 Euro million, while 13.7% employ between 5 and 10 Euro million and 7.8% pays between 10 and 25 Euro million: only 2% of the fund selectors is immediately available to invest between 25 and 50 Euro million.</w:t>
      </w:r>
    </w:p>
    <w:p w:rsidR="001E6C92" w:rsidRDefault="001E6C92" w:rsidP="005E009A">
      <w:pPr>
        <w:jc w:val="both"/>
        <w:rPr>
          <w:b/>
        </w:rPr>
      </w:pPr>
    </w:p>
    <w:p w:rsidR="001E6C92" w:rsidRDefault="001E6C92" w:rsidP="005E009A">
      <w:pPr>
        <w:jc w:val="both"/>
        <w:rPr>
          <w:b/>
        </w:rPr>
      </w:pPr>
    </w:p>
    <w:p w:rsidR="003E70B2" w:rsidRDefault="001E6C92" w:rsidP="005E009A">
      <w:r w:rsidRPr="001E6C92">
        <w:rPr>
          <w:b/>
        </w:rPr>
        <w:t xml:space="preserve">Minimum track record a fund should have to be chosen by fund selectors </w:t>
      </w:r>
      <w:r w:rsidR="003E70B2" w:rsidRPr="003E70B2">
        <w:rPr>
          <w:noProof/>
          <w:lang w:eastAsia="en-GB"/>
        </w:rPr>
        <w:drawing>
          <wp:inline distT="0" distB="0" distL="0" distR="0">
            <wp:extent cx="3864487" cy="2655735"/>
            <wp:effectExtent l="19050" t="0" r="2663" b="0"/>
            <wp:docPr id="1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864697" cy="2655880"/>
                    </a:xfrm>
                    <a:prstGeom prst="rect">
                      <a:avLst/>
                    </a:prstGeom>
                    <a:noFill/>
                    <a:ln w="9525">
                      <a:noFill/>
                      <a:miter lim="800000"/>
                      <a:headEnd/>
                      <a:tailEnd/>
                    </a:ln>
                  </pic:spPr>
                </pic:pic>
              </a:graphicData>
            </a:graphic>
          </wp:inline>
        </w:drawing>
      </w:r>
    </w:p>
    <w:p w:rsidR="003E70B2" w:rsidRDefault="001E6C92" w:rsidP="005E009A">
      <w:pPr>
        <w:jc w:val="both"/>
      </w:pPr>
      <w:r w:rsidRPr="00473B26">
        <w:rPr>
          <w:i/>
          <w:sz w:val="20"/>
          <w:szCs w:val="20"/>
          <w:lang w:val="en-US"/>
        </w:rPr>
        <w:t xml:space="preserve">Source: </w:t>
      </w:r>
      <w:r w:rsidRPr="000B78E2">
        <w:rPr>
          <w:i/>
          <w:sz w:val="20"/>
          <w:szCs w:val="20"/>
          <w:lang w:val="en-US"/>
        </w:rPr>
        <w:t xml:space="preserve">Fund selector survey 2013, </w:t>
      </w:r>
      <w:proofErr w:type="spellStart"/>
      <w:r w:rsidRPr="000B78E2">
        <w:rPr>
          <w:i/>
          <w:sz w:val="20"/>
          <w:szCs w:val="20"/>
          <w:lang w:val="en-US"/>
        </w:rPr>
        <w:t>MondoAlternative</w:t>
      </w:r>
      <w:proofErr w:type="spellEnd"/>
      <w:r w:rsidRPr="000B78E2">
        <w:rPr>
          <w:i/>
          <w:sz w:val="20"/>
          <w:szCs w:val="20"/>
          <w:lang w:val="en-US"/>
        </w:rPr>
        <w:t>.</w:t>
      </w:r>
      <w:r w:rsidRPr="00473B26">
        <w:rPr>
          <w:sz w:val="20"/>
          <w:szCs w:val="20"/>
          <w:lang w:val="en-US"/>
        </w:rPr>
        <w:tab/>
      </w:r>
      <w:r w:rsidRPr="00473B26">
        <w:rPr>
          <w:sz w:val="20"/>
          <w:szCs w:val="20"/>
          <w:lang w:val="en-US"/>
        </w:rPr>
        <w:tab/>
      </w:r>
      <w:r w:rsidRPr="00473B26">
        <w:rPr>
          <w:sz w:val="20"/>
          <w:szCs w:val="20"/>
          <w:lang w:val="en-US"/>
        </w:rPr>
        <w:tab/>
      </w:r>
      <w:r w:rsidRPr="00473B26">
        <w:rPr>
          <w:sz w:val="20"/>
          <w:szCs w:val="20"/>
          <w:lang w:val="en-US"/>
        </w:rPr>
        <w:tab/>
      </w:r>
      <w:r>
        <w:rPr>
          <w:sz w:val="20"/>
          <w:szCs w:val="20"/>
          <w:lang w:val="en-US"/>
        </w:rPr>
        <w:tab/>
      </w:r>
      <w:r w:rsidRPr="00473B26">
        <w:rPr>
          <w:sz w:val="20"/>
          <w:szCs w:val="20"/>
          <w:lang w:val="en-US"/>
        </w:rPr>
        <w:tab/>
      </w:r>
      <w:r w:rsidRPr="00473B26">
        <w:rPr>
          <w:i/>
          <w:sz w:val="20"/>
          <w:szCs w:val="20"/>
          <w:lang w:val="en-US"/>
        </w:rPr>
        <w:t xml:space="preserve">Chart </w:t>
      </w:r>
      <w:r>
        <w:rPr>
          <w:i/>
          <w:sz w:val="20"/>
          <w:szCs w:val="20"/>
          <w:lang w:val="en-US"/>
        </w:rPr>
        <w:t>4</w:t>
      </w:r>
    </w:p>
    <w:p w:rsidR="003E70B2" w:rsidRDefault="003E70B2" w:rsidP="005E009A">
      <w:pPr>
        <w:jc w:val="both"/>
      </w:pPr>
    </w:p>
    <w:p w:rsidR="005C708F" w:rsidRDefault="005C708F" w:rsidP="005E009A">
      <w:pPr>
        <w:jc w:val="both"/>
        <w:rPr>
          <w:u w:val="single"/>
        </w:rPr>
      </w:pPr>
      <w:r w:rsidRPr="005C708F">
        <w:rPr>
          <w:u w:val="single"/>
        </w:rPr>
        <w:lastRenderedPageBreak/>
        <w:t>Preferred investment houses</w:t>
      </w:r>
    </w:p>
    <w:p w:rsidR="005C708F" w:rsidRPr="005C708F" w:rsidRDefault="005C708F" w:rsidP="005E009A">
      <w:pPr>
        <w:jc w:val="both"/>
        <w:rPr>
          <w:u w:val="single"/>
        </w:rPr>
      </w:pPr>
    </w:p>
    <w:p w:rsidR="005C708F" w:rsidRDefault="005C708F" w:rsidP="005E009A">
      <w:pPr>
        <w:jc w:val="both"/>
      </w:pPr>
      <w:r>
        <w:t>Looking at the active funds, and considering the investment houses to wh</w:t>
      </w:r>
      <w:r w:rsidR="007978E8">
        <w:t xml:space="preserve">om the top 5 products in Italian </w:t>
      </w:r>
      <w:r>
        <w:t xml:space="preserve">fund selectors portfolios belong to, </w:t>
      </w:r>
      <w:proofErr w:type="spellStart"/>
      <w:r>
        <w:t>Pimco</w:t>
      </w:r>
      <w:proofErr w:type="spellEnd"/>
      <w:r>
        <w:t xml:space="preserve"> prevails with 39 </w:t>
      </w:r>
      <w:r w:rsidR="007978E8">
        <w:t>presences</w:t>
      </w:r>
      <w:r>
        <w:t xml:space="preserve"> in a total of 6 different asset classes, followed by Franklin Templeton Investments (36 </w:t>
      </w:r>
      <w:r w:rsidR="007978E8">
        <w:t>presences</w:t>
      </w:r>
      <w:r>
        <w:t xml:space="preserve"> in 5 asset classes) and </w:t>
      </w:r>
      <w:proofErr w:type="spellStart"/>
      <w:r>
        <w:t>Pictet</w:t>
      </w:r>
      <w:proofErr w:type="spellEnd"/>
      <w:r>
        <w:t xml:space="preserve"> (33 </w:t>
      </w:r>
      <w:r w:rsidR="007978E8">
        <w:t>presences</w:t>
      </w:r>
      <w:r>
        <w:t xml:space="preserve"> in 7 asset classes, see chart 5)</w:t>
      </w:r>
      <w:r w:rsidR="00563DAE">
        <w:t>.</w:t>
      </w:r>
    </w:p>
    <w:p w:rsidR="00563DAE" w:rsidRDefault="00563DAE" w:rsidP="005E009A">
      <w:pPr>
        <w:jc w:val="both"/>
      </w:pPr>
    </w:p>
    <w:p w:rsidR="005C708F" w:rsidRDefault="005C708F" w:rsidP="005E009A">
      <w:pPr>
        <w:jc w:val="both"/>
      </w:pPr>
    </w:p>
    <w:p w:rsidR="005C708F" w:rsidRPr="007978E8" w:rsidRDefault="007978E8" w:rsidP="005E009A">
      <w:pPr>
        <w:jc w:val="both"/>
        <w:rPr>
          <w:b/>
        </w:rPr>
      </w:pPr>
      <w:r w:rsidRPr="007978E8">
        <w:rPr>
          <w:b/>
        </w:rPr>
        <w:t>The most widely chosen investment houses by Italian fund selectors</w:t>
      </w:r>
    </w:p>
    <w:p w:rsidR="005C708F" w:rsidRDefault="007978E8" w:rsidP="005E009A">
      <w:pPr>
        <w:jc w:val="both"/>
      </w:pPr>
      <w:r w:rsidRPr="007978E8">
        <w:rPr>
          <w:noProof/>
          <w:lang w:eastAsia="en-GB"/>
        </w:rPr>
        <w:drawing>
          <wp:inline distT="0" distB="0" distL="0" distR="0">
            <wp:extent cx="4847148" cy="2479448"/>
            <wp:effectExtent l="19050" t="0" r="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847760" cy="2479761"/>
                    </a:xfrm>
                    <a:prstGeom prst="rect">
                      <a:avLst/>
                    </a:prstGeom>
                    <a:noFill/>
                    <a:ln w="9525">
                      <a:noFill/>
                      <a:miter lim="800000"/>
                      <a:headEnd/>
                      <a:tailEnd/>
                    </a:ln>
                  </pic:spPr>
                </pic:pic>
              </a:graphicData>
            </a:graphic>
          </wp:inline>
        </w:drawing>
      </w:r>
    </w:p>
    <w:p w:rsidR="007978E8" w:rsidRDefault="007978E8" w:rsidP="005E009A">
      <w:pPr>
        <w:jc w:val="both"/>
      </w:pPr>
    </w:p>
    <w:p w:rsidR="007978E8" w:rsidRDefault="007978E8" w:rsidP="005E009A">
      <w:pPr>
        <w:jc w:val="both"/>
      </w:pPr>
      <w:r w:rsidRPr="00473B26">
        <w:rPr>
          <w:i/>
          <w:sz w:val="20"/>
          <w:szCs w:val="20"/>
          <w:lang w:val="en-US"/>
        </w:rPr>
        <w:t xml:space="preserve">Source: </w:t>
      </w:r>
      <w:r w:rsidRPr="000B78E2">
        <w:rPr>
          <w:i/>
          <w:sz w:val="20"/>
          <w:szCs w:val="20"/>
          <w:lang w:val="en-US"/>
        </w:rPr>
        <w:t xml:space="preserve">Fund selector survey 2013, </w:t>
      </w:r>
      <w:proofErr w:type="spellStart"/>
      <w:r w:rsidRPr="000B78E2">
        <w:rPr>
          <w:i/>
          <w:sz w:val="20"/>
          <w:szCs w:val="20"/>
          <w:lang w:val="en-US"/>
        </w:rPr>
        <w:t>MondoAlternative</w:t>
      </w:r>
      <w:proofErr w:type="spellEnd"/>
      <w:r w:rsidRPr="000B78E2">
        <w:rPr>
          <w:i/>
          <w:sz w:val="20"/>
          <w:szCs w:val="20"/>
          <w:lang w:val="en-US"/>
        </w:rPr>
        <w:t>.</w:t>
      </w:r>
      <w:r w:rsidRPr="00473B26">
        <w:rPr>
          <w:sz w:val="20"/>
          <w:szCs w:val="20"/>
          <w:lang w:val="en-US"/>
        </w:rPr>
        <w:tab/>
      </w:r>
      <w:r w:rsidRPr="00473B26">
        <w:rPr>
          <w:sz w:val="20"/>
          <w:szCs w:val="20"/>
          <w:lang w:val="en-US"/>
        </w:rPr>
        <w:tab/>
      </w:r>
      <w:r w:rsidRPr="00473B26">
        <w:rPr>
          <w:sz w:val="20"/>
          <w:szCs w:val="20"/>
          <w:lang w:val="en-US"/>
        </w:rPr>
        <w:tab/>
      </w:r>
      <w:r w:rsidRPr="00473B26">
        <w:rPr>
          <w:sz w:val="20"/>
          <w:szCs w:val="20"/>
          <w:lang w:val="en-US"/>
        </w:rPr>
        <w:tab/>
      </w:r>
      <w:r>
        <w:rPr>
          <w:sz w:val="20"/>
          <w:szCs w:val="20"/>
          <w:lang w:val="en-US"/>
        </w:rPr>
        <w:tab/>
      </w:r>
      <w:r w:rsidRPr="00473B26">
        <w:rPr>
          <w:sz w:val="20"/>
          <w:szCs w:val="20"/>
          <w:lang w:val="en-US"/>
        </w:rPr>
        <w:tab/>
      </w:r>
      <w:r w:rsidRPr="00473B26">
        <w:rPr>
          <w:i/>
          <w:sz w:val="20"/>
          <w:szCs w:val="20"/>
          <w:lang w:val="en-US"/>
        </w:rPr>
        <w:t xml:space="preserve">Chart </w:t>
      </w:r>
      <w:r>
        <w:rPr>
          <w:i/>
          <w:sz w:val="20"/>
          <w:szCs w:val="20"/>
          <w:lang w:val="en-US"/>
        </w:rPr>
        <w:t>4</w:t>
      </w:r>
    </w:p>
    <w:p w:rsidR="005C708F" w:rsidRDefault="005C708F" w:rsidP="005E009A">
      <w:pPr>
        <w:jc w:val="both"/>
      </w:pPr>
    </w:p>
    <w:p w:rsidR="005C708F" w:rsidRDefault="005C708F" w:rsidP="005E009A">
      <w:pPr>
        <w:jc w:val="both"/>
      </w:pPr>
    </w:p>
    <w:p w:rsidR="005C708F" w:rsidRDefault="005C708F" w:rsidP="005E009A">
      <w:pPr>
        <w:jc w:val="both"/>
      </w:pPr>
    </w:p>
    <w:p w:rsidR="00563DAE" w:rsidRDefault="00563DAE" w:rsidP="005E009A">
      <w:pPr>
        <w:jc w:val="both"/>
      </w:pPr>
    </w:p>
    <w:p w:rsidR="005C708F" w:rsidRDefault="005C708F" w:rsidP="005E009A">
      <w:pPr>
        <w:jc w:val="both"/>
      </w:pPr>
    </w:p>
    <w:p w:rsidR="005C708F" w:rsidRDefault="005C708F" w:rsidP="005E009A">
      <w:pPr>
        <w:jc w:val="both"/>
      </w:pPr>
      <w:proofErr w:type="spellStart"/>
      <w:r>
        <w:t>BlackRock</w:t>
      </w:r>
      <w:proofErr w:type="spellEnd"/>
      <w:r>
        <w:t xml:space="preserve"> prevails for what concerns </w:t>
      </w:r>
      <w:r w:rsidRPr="005C708F">
        <w:rPr>
          <w:b/>
        </w:rPr>
        <w:t>developed stocks</w:t>
      </w:r>
      <w:r>
        <w:t>, with 37</w:t>
      </w:r>
      <w:proofErr w:type="gramStart"/>
      <w:r>
        <w:t>% ,</w:t>
      </w:r>
      <w:proofErr w:type="gramEnd"/>
      <w:r>
        <w:t xml:space="preserve"> followed by JPMorgan AM (33.3%) and </w:t>
      </w:r>
      <w:proofErr w:type="spellStart"/>
      <w:r>
        <w:t>Threadneedle</w:t>
      </w:r>
      <w:proofErr w:type="spellEnd"/>
      <w:r>
        <w:t xml:space="preserve"> (25.9%). </w:t>
      </w:r>
    </w:p>
    <w:p w:rsidR="00563DAE" w:rsidRDefault="00563DAE" w:rsidP="005E009A">
      <w:pPr>
        <w:jc w:val="both"/>
      </w:pPr>
    </w:p>
    <w:p w:rsidR="00563DAE" w:rsidRDefault="00563DAE" w:rsidP="005E009A">
      <w:pPr>
        <w:jc w:val="both"/>
      </w:pPr>
    </w:p>
    <w:p w:rsidR="005C708F" w:rsidRDefault="00563DAE" w:rsidP="005E009A">
      <w:pPr>
        <w:jc w:val="both"/>
      </w:pPr>
      <w:r w:rsidRPr="00563DAE">
        <w:rPr>
          <w:noProof/>
          <w:lang w:eastAsia="en-GB"/>
        </w:rPr>
        <w:drawing>
          <wp:inline distT="0" distB="0" distL="0" distR="0">
            <wp:extent cx="4371268" cy="2257533"/>
            <wp:effectExtent l="19050" t="0" r="0" b="0"/>
            <wp:docPr id="1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4372763" cy="2258305"/>
                    </a:xfrm>
                    <a:prstGeom prst="rect">
                      <a:avLst/>
                    </a:prstGeom>
                    <a:noFill/>
                    <a:ln w="9525">
                      <a:noFill/>
                      <a:miter lim="800000"/>
                      <a:headEnd/>
                      <a:tailEnd/>
                    </a:ln>
                  </pic:spPr>
                </pic:pic>
              </a:graphicData>
            </a:graphic>
          </wp:inline>
        </w:drawing>
      </w:r>
    </w:p>
    <w:p w:rsidR="005C708F" w:rsidRDefault="005C708F" w:rsidP="005E009A">
      <w:pPr>
        <w:jc w:val="both"/>
      </w:pPr>
    </w:p>
    <w:p w:rsidR="005C708F" w:rsidRDefault="005C708F" w:rsidP="005E009A">
      <w:pPr>
        <w:jc w:val="both"/>
      </w:pPr>
    </w:p>
    <w:p w:rsidR="00563DAE" w:rsidRDefault="00563DAE" w:rsidP="005E009A">
      <w:pPr>
        <w:jc w:val="both"/>
      </w:pPr>
    </w:p>
    <w:p w:rsidR="00563DAE" w:rsidRDefault="00563DAE" w:rsidP="005E009A">
      <w:pPr>
        <w:jc w:val="both"/>
      </w:pPr>
    </w:p>
    <w:p w:rsidR="00563DAE" w:rsidRDefault="00563DAE" w:rsidP="005E009A">
      <w:pPr>
        <w:jc w:val="both"/>
      </w:pPr>
    </w:p>
    <w:p w:rsidR="005C708F" w:rsidRDefault="005C708F" w:rsidP="005E009A">
      <w:pPr>
        <w:jc w:val="both"/>
      </w:pPr>
      <w:r>
        <w:lastRenderedPageBreak/>
        <w:t xml:space="preserve">About </w:t>
      </w:r>
      <w:r w:rsidRPr="005C708F">
        <w:rPr>
          <w:b/>
        </w:rPr>
        <w:t>emerging equities</w:t>
      </w:r>
      <w:r>
        <w:t xml:space="preserve"> Aberdeen is preferred with 64 %, before Franklin Templeton, and Fidelity</w:t>
      </w:r>
    </w:p>
    <w:p w:rsidR="005C708F" w:rsidRDefault="005C708F" w:rsidP="005E009A">
      <w:pPr>
        <w:jc w:val="both"/>
      </w:pPr>
      <w:r>
        <w:t>Worldwide Investment (both at 36.0%);</w:t>
      </w:r>
    </w:p>
    <w:p w:rsidR="00563DAE" w:rsidRDefault="00563DAE" w:rsidP="005E009A">
      <w:pPr>
        <w:jc w:val="both"/>
      </w:pPr>
    </w:p>
    <w:p w:rsidR="00563DAE" w:rsidRDefault="00563DAE" w:rsidP="005E009A">
      <w:pPr>
        <w:jc w:val="both"/>
      </w:pPr>
      <w:r w:rsidRPr="00563DAE">
        <w:rPr>
          <w:noProof/>
          <w:lang w:eastAsia="en-GB"/>
        </w:rPr>
        <w:drawing>
          <wp:inline distT="0" distB="0" distL="0" distR="0">
            <wp:extent cx="4264728" cy="2202511"/>
            <wp:effectExtent l="19050" t="0" r="2472" b="0"/>
            <wp:docPr id="1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4265009" cy="2202656"/>
                    </a:xfrm>
                    <a:prstGeom prst="rect">
                      <a:avLst/>
                    </a:prstGeom>
                    <a:noFill/>
                    <a:ln w="9525">
                      <a:noFill/>
                      <a:miter lim="800000"/>
                      <a:headEnd/>
                      <a:tailEnd/>
                    </a:ln>
                  </pic:spPr>
                </pic:pic>
              </a:graphicData>
            </a:graphic>
          </wp:inline>
        </w:drawing>
      </w:r>
    </w:p>
    <w:p w:rsidR="00563DAE" w:rsidRDefault="00563DAE" w:rsidP="005E009A">
      <w:pPr>
        <w:jc w:val="both"/>
      </w:pPr>
    </w:p>
    <w:p w:rsidR="00563DAE" w:rsidRDefault="00563DAE" w:rsidP="005E009A">
      <w:pPr>
        <w:jc w:val="both"/>
      </w:pPr>
    </w:p>
    <w:p w:rsidR="005C708F" w:rsidRDefault="00563DAE" w:rsidP="005E009A">
      <w:pPr>
        <w:jc w:val="both"/>
      </w:pPr>
      <w:r>
        <w:t>A</w:t>
      </w:r>
      <w:r w:rsidR="005C708F">
        <w:t xml:space="preserve">bout the </w:t>
      </w:r>
      <w:r w:rsidRPr="00563DAE">
        <w:rPr>
          <w:b/>
        </w:rPr>
        <w:t xml:space="preserve">developed </w:t>
      </w:r>
      <w:r w:rsidR="005C708F" w:rsidRPr="005C708F">
        <w:rPr>
          <w:b/>
        </w:rPr>
        <w:t>sovereign bonds</w:t>
      </w:r>
      <w:r w:rsidR="005C708F">
        <w:t xml:space="preserve">, </w:t>
      </w:r>
      <w:proofErr w:type="spellStart"/>
      <w:r w:rsidR="005C708F">
        <w:t>Pimco</w:t>
      </w:r>
      <w:proofErr w:type="spellEnd"/>
      <w:r w:rsidR="005C708F">
        <w:t xml:space="preserve"> emerges with 33.3%, whose funds are more used than those of </w:t>
      </w:r>
      <w:proofErr w:type="spellStart"/>
      <w:r w:rsidR="005C708F">
        <w:t>Schorders</w:t>
      </w:r>
      <w:proofErr w:type="spellEnd"/>
      <w:r w:rsidR="005C708F">
        <w:t xml:space="preserve"> (29.2%) and those of </w:t>
      </w:r>
      <w:proofErr w:type="spellStart"/>
      <w:r w:rsidR="005C708F">
        <w:t>BlackRock</w:t>
      </w:r>
      <w:proofErr w:type="spellEnd"/>
      <w:r w:rsidR="005C708F">
        <w:t xml:space="preserve"> (25.0%);</w:t>
      </w:r>
    </w:p>
    <w:p w:rsidR="00563DAE" w:rsidRDefault="00563DAE" w:rsidP="005E009A">
      <w:pPr>
        <w:jc w:val="both"/>
      </w:pPr>
    </w:p>
    <w:p w:rsidR="00563DAE" w:rsidRDefault="00563DAE" w:rsidP="005E009A">
      <w:pPr>
        <w:jc w:val="both"/>
      </w:pPr>
      <w:r w:rsidRPr="00563DAE">
        <w:rPr>
          <w:noProof/>
          <w:lang w:eastAsia="en-GB"/>
        </w:rPr>
        <w:drawing>
          <wp:inline distT="0" distB="0" distL="0" distR="0">
            <wp:extent cx="5307596" cy="2234316"/>
            <wp:effectExtent l="19050" t="0" r="7354" b="0"/>
            <wp:docPr id="2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5307857" cy="2234426"/>
                    </a:xfrm>
                    <a:prstGeom prst="rect">
                      <a:avLst/>
                    </a:prstGeom>
                    <a:noFill/>
                    <a:ln w="9525">
                      <a:noFill/>
                      <a:miter lim="800000"/>
                      <a:headEnd/>
                      <a:tailEnd/>
                    </a:ln>
                  </pic:spPr>
                </pic:pic>
              </a:graphicData>
            </a:graphic>
          </wp:inline>
        </w:drawing>
      </w:r>
    </w:p>
    <w:p w:rsidR="00563DAE" w:rsidRDefault="00563DAE" w:rsidP="005E009A">
      <w:pPr>
        <w:jc w:val="both"/>
      </w:pPr>
    </w:p>
    <w:p w:rsidR="005C708F" w:rsidRDefault="00563DAE" w:rsidP="005E009A">
      <w:pPr>
        <w:jc w:val="both"/>
      </w:pPr>
      <w:r>
        <w:t>I</w:t>
      </w:r>
      <w:r w:rsidR="005C708F">
        <w:t xml:space="preserve">nstead about </w:t>
      </w:r>
      <w:r w:rsidR="005C708F" w:rsidRPr="005C708F">
        <w:rPr>
          <w:b/>
        </w:rPr>
        <w:t>corporate developed bonds</w:t>
      </w:r>
      <w:r w:rsidR="005C708F">
        <w:t xml:space="preserve">, Invesco , with 41.7%, is the active manager chosen while in the second and third positions are placed, respectively, Henderson Global Investors and </w:t>
      </w:r>
      <w:proofErr w:type="spellStart"/>
      <w:r w:rsidR="005C708F">
        <w:t>Pimco</w:t>
      </w:r>
      <w:proofErr w:type="spellEnd"/>
      <w:r w:rsidR="005C708F">
        <w:t xml:space="preserve"> (both at 33.3%).</w:t>
      </w:r>
    </w:p>
    <w:p w:rsidR="00563DAE" w:rsidRDefault="00563DAE" w:rsidP="005E009A">
      <w:pPr>
        <w:jc w:val="both"/>
      </w:pPr>
    </w:p>
    <w:p w:rsidR="00563DAE" w:rsidRDefault="00563DAE" w:rsidP="005E009A">
      <w:pPr>
        <w:jc w:val="both"/>
      </w:pPr>
      <w:r w:rsidRPr="00563DAE">
        <w:rPr>
          <w:noProof/>
          <w:lang w:eastAsia="en-GB"/>
        </w:rPr>
        <w:drawing>
          <wp:inline distT="0" distB="0" distL="0" distR="0">
            <wp:extent cx="4032552" cy="2082604"/>
            <wp:effectExtent l="19050" t="0" r="6048" b="0"/>
            <wp:docPr id="2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4033932" cy="2083316"/>
                    </a:xfrm>
                    <a:prstGeom prst="rect">
                      <a:avLst/>
                    </a:prstGeom>
                    <a:noFill/>
                    <a:ln w="9525">
                      <a:noFill/>
                      <a:miter lim="800000"/>
                      <a:headEnd/>
                      <a:tailEnd/>
                    </a:ln>
                  </pic:spPr>
                </pic:pic>
              </a:graphicData>
            </a:graphic>
          </wp:inline>
        </w:drawing>
      </w:r>
    </w:p>
    <w:p w:rsidR="00563DAE" w:rsidRDefault="00563DAE" w:rsidP="005E009A">
      <w:pPr>
        <w:jc w:val="both"/>
      </w:pPr>
    </w:p>
    <w:p w:rsidR="00563DAE" w:rsidRDefault="00563DAE" w:rsidP="005E009A">
      <w:pPr>
        <w:jc w:val="both"/>
      </w:pPr>
    </w:p>
    <w:p w:rsidR="005C708F" w:rsidRDefault="005C708F" w:rsidP="005E009A">
      <w:pPr>
        <w:jc w:val="both"/>
      </w:pPr>
      <w:r>
        <w:lastRenderedPageBreak/>
        <w:t xml:space="preserve">Concerning </w:t>
      </w:r>
      <w:r w:rsidRPr="005C708F">
        <w:rPr>
          <w:b/>
        </w:rPr>
        <w:t>sovereign emerging bond</w:t>
      </w:r>
      <w:r>
        <w:t xml:space="preserve"> investments, </w:t>
      </w:r>
      <w:proofErr w:type="spellStart"/>
      <w:r>
        <w:t>Pictet</w:t>
      </w:r>
      <w:proofErr w:type="spellEnd"/>
      <w:r>
        <w:t xml:space="preserve"> is the </w:t>
      </w:r>
      <w:proofErr w:type="spellStart"/>
      <w:r>
        <w:t>favorite</w:t>
      </w:r>
      <w:proofErr w:type="spellEnd"/>
      <w:r>
        <w:t xml:space="preserve"> house (55.2%) followed by funds of Franklin Templeton (44.8%) and </w:t>
      </w:r>
      <w:proofErr w:type="spellStart"/>
      <w:r>
        <w:t>Pimco</w:t>
      </w:r>
      <w:proofErr w:type="spellEnd"/>
      <w:r>
        <w:t xml:space="preserve"> (37.9%). </w:t>
      </w:r>
    </w:p>
    <w:p w:rsidR="00563DAE" w:rsidRDefault="00563DAE" w:rsidP="005E009A">
      <w:pPr>
        <w:jc w:val="both"/>
      </w:pPr>
    </w:p>
    <w:p w:rsidR="00563DAE" w:rsidRDefault="00563DAE" w:rsidP="005E009A">
      <w:pPr>
        <w:jc w:val="both"/>
      </w:pPr>
      <w:r w:rsidRPr="00563DAE">
        <w:rPr>
          <w:noProof/>
          <w:lang w:eastAsia="en-GB"/>
        </w:rPr>
        <w:drawing>
          <wp:inline distT="0" distB="0" distL="0" distR="0">
            <wp:extent cx="4432852" cy="2289338"/>
            <wp:effectExtent l="19050" t="0" r="5798" b="0"/>
            <wp:docPr id="2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4434369" cy="2290121"/>
                    </a:xfrm>
                    <a:prstGeom prst="rect">
                      <a:avLst/>
                    </a:prstGeom>
                    <a:noFill/>
                    <a:ln w="9525">
                      <a:noFill/>
                      <a:miter lim="800000"/>
                      <a:headEnd/>
                      <a:tailEnd/>
                    </a:ln>
                  </pic:spPr>
                </pic:pic>
              </a:graphicData>
            </a:graphic>
          </wp:inline>
        </w:drawing>
      </w:r>
    </w:p>
    <w:p w:rsidR="00563DAE" w:rsidRDefault="00563DAE" w:rsidP="005E009A">
      <w:pPr>
        <w:jc w:val="both"/>
      </w:pPr>
    </w:p>
    <w:p w:rsidR="005C708F" w:rsidRDefault="005C708F" w:rsidP="005E009A">
      <w:pPr>
        <w:jc w:val="both"/>
      </w:pPr>
      <w:r>
        <w:t xml:space="preserve">About </w:t>
      </w:r>
      <w:r w:rsidRPr="005C708F">
        <w:rPr>
          <w:b/>
        </w:rPr>
        <w:t>corporate emerging bond</w:t>
      </w:r>
      <w:r>
        <w:t xml:space="preserve"> funds, </w:t>
      </w:r>
      <w:proofErr w:type="spellStart"/>
      <w:r>
        <w:t>BlueBay</w:t>
      </w:r>
      <w:proofErr w:type="spellEnd"/>
      <w:r>
        <w:t xml:space="preserve"> and </w:t>
      </w:r>
      <w:proofErr w:type="spellStart"/>
      <w:r>
        <w:t>Pimco</w:t>
      </w:r>
      <w:proofErr w:type="spellEnd"/>
      <w:r>
        <w:t xml:space="preserve"> products win the competition (39.1%), ranking first ahead of Franklin Templeton (26.1%). </w:t>
      </w:r>
    </w:p>
    <w:p w:rsidR="00563DAE" w:rsidRDefault="00563DAE" w:rsidP="005E009A">
      <w:pPr>
        <w:jc w:val="both"/>
      </w:pPr>
    </w:p>
    <w:p w:rsidR="00563DAE" w:rsidRDefault="00563DAE" w:rsidP="005E009A">
      <w:pPr>
        <w:jc w:val="both"/>
      </w:pPr>
      <w:r w:rsidRPr="00563DAE">
        <w:rPr>
          <w:noProof/>
          <w:lang w:eastAsia="en-GB"/>
        </w:rPr>
        <w:drawing>
          <wp:inline distT="0" distB="0" distL="0" distR="0">
            <wp:extent cx="4309683" cy="2225728"/>
            <wp:effectExtent l="19050" t="0" r="0" b="0"/>
            <wp:docPr id="2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4311157" cy="2226489"/>
                    </a:xfrm>
                    <a:prstGeom prst="rect">
                      <a:avLst/>
                    </a:prstGeom>
                    <a:noFill/>
                    <a:ln w="9525">
                      <a:noFill/>
                      <a:miter lim="800000"/>
                      <a:headEnd/>
                      <a:tailEnd/>
                    </a:ln>
                  </pic:spPr>
                </pic:pic>
              </a:graphicData>
            </a:graphic>
          </wp:inline>
        </w:drawing>
      </w:r>
    </w:p>
    <w:p w:rsidR="00563DAE" w:rsidRDefault="00563DAE" w:rsidP="005E009A">
      <w:pPr>
        <w:jc w:val="both"/>
      </w:pPr>
    </w:p>
    <w:p w:rsidR="005C708F" w:rsidRDefault="005C708F" w:rsidP="005E009A">
      <w:pPr>
        <w:jc w:val="both"/>
      </w:pPr>
      <w:r>
        <w:t xml:space="preserve">For investments in </w:t>
      </w:r>
      <w:r w:rsidRPr="005C708F">
        <w:rPr>
          <w:b/>
        </w:rPr>
        <w:t>hedge funds and absolute return products</w:t>
      </w:r>
      <w:r>
        <w:t>, the most widely chosen products belong to</w:t>
      </w:r>
    </w:p>
    <w:p w:rsidR="005C708F" w:rsidRDefault="005C708F" w:rsidP="005E009A">
      <w:pPr>
        <w:jc w:val="both"/>
      </w:pPr>
      <w:r>
        <w:t xml:space="preserve">Swiss &amp; Global (29.2%), followed by those by BNY Mellon Group (25%) and GAM AM and </w:t>
      </w:r>
      <w:proofErr w:type="spellStart"/>
      <w:r>
        <w:t>BlackRock</w:t>
      </w:r>
      <w:proofErr w:type="spellEnd"/>
      <w:r>
        <w:t xml:space="preserve"> (20.8%). </w:t>
      </w:r>
    </w:p>
    <w:p w:rsidR="00563DAE" w:rsidRDefault="00563DAE" w:rsidP="005E009A">
      <w:pPr>
        <w:jc w:val="both"/>
      </w:pPr>
    </w:p>
    <w:p w:rsidR="00563DAE" w:rsidRDefault="00563DAE" w:rsidP="005E009A">
      <w:pPr>
        <w:jc w:val="both"/>
      </w:pPr>
      <w:r w:rsidRPr="00563DAE">
        <w:rPr>
          <w:noProof/>
          <w:lang w:eastAsia="en-GB"/>
        </w:rPr>
        <w:drawing>
          <wp:inline distT="0" distB="0" distL="0" distR="0">
            <wp:extent cx="4617606" cy="2384754"/>
            <wp:effectExtent l="19050" t="0" r="0" b="0"/>
            <wp:docPr id="2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4619186" cy="2385570"/>
                    </a:xfrm>
                    <a:prstGeom prst="rect">
                      <a:avLst/>
                    </a:prstGeom>
                    <a:noFill/>
                    <a:ln w="9525">
                      <a:noFill/>
                      <a:miter lim="800000"/>
                      <a:headEnd/>
                      <a:tailEnd/>
                    </a:ln>
                  </pic:spPr>
                </pic:pic>
              </a:graphicData>
            </a:graphic>
          </wp:inline>
        </w:drawing>
      </w:r>
    </w:p>
    <w:p w:rsidR="00705D43" w:rsidRPr="00705D43" w:rsidRDefault="00705D43" w:rsidP="005E009A">
      <w:pPr>
        <w:jc w:val="both"/>
        <w:rPr>
          <w:u w:val="single"/>
        </w:rPr>
      </w:pPr>
      <w:proofErr w:type="spellStart"/>
      <w:r w:rsidRPr="00705D43">
        <w:rPr>
          <w:u w:val="single"/>
        </w:rPr>
        <w:lastRenderedPageBreak/>
        <w:t>Favorite</w:t>
      </w:r>
      <w:proofErr w:type="spellEnd"/>
      <w:r w:rsidRPr="00705D43">
        <w:rPr>
          <w:u w:val="single"/>
        </w:rPr>
        <w:t xml:space="preserve"> Italian asset managers</w:t>
      </w:r>
    </w:p>
    <w:p w:rsidR="00563DAE" w:rsidRDefault="005E009A" w:rsidP="005E009A">
      <w:pPr>
        <w:jc w:val="both"/>
      </w:pPr>
      <w:r>
        <w:t>“</w:t>
      </w:r>
      <w:proofErr w:type="spellStart"/>
      <w:r w:rsidR="00705D43">
        <w:t>Foreing</w:t>
      </w:r>
      <w:proofErr w:type="spellEnd"/>
      <w:r w:rsidR="00705D43">
        <w:t xml:space="preserve"> asset managers play a major role in Italy, but there are also some local investment houses that are particularly appreciated by Italian fund selectors, and these include: </w:t>
      </w:r>
      <w:proofErr w:type="spellStart"/>
      <w:r w:rsidR="00705D43">
        <w:t>Arca</w:t>
      </w:r>
      <w:proofErr w:type="spellEnd"/>
      <w:r w:rsidR="00705D43">
        <w:t xml:space="preserve">, </w:t>
      </w:r>
      <w:proofErr w:type="spellStart"/>
      <w:r w:rsidR="00705D43">
        <w:t>Duemme</w:t>
      </w:r>
      <w:proofErr w:type="spellEnd"/>
      <w:r w:rsidR="00705D43">
        <w:t xml:space="preserve"> Capital, </w:t>
      </w:r>
      <w:proofErr w:type="spellStart"/>
      <w:r w:rsidR="00705D43">
        <w:t>Eurizon</w:t>
      </w:r>
      <w:proofErr w:type="spellEnd"/>
      <w:r w:rsidR="00705D43">
        <w:t xml:space="preserve"> Capital, </w:t>
      </w:r>
      <w:proofErr w:type="spellStart"/>
      <w:r w:rsidR="00705D43">
        <w:t>Generali</w:t>
      </w:r>
      <w:proofErr w:type="spellEnd"/>
      <w:r w:rsidR="00705D43">
        <w:t xml:space="preserve"> FM, Hedge Invest, </w:t>
      </w:r>
      <w:proofErr w:type="spellStart"/>
      <w:r w:rsidR="00705D43">
        <w:t>Perennius</w:t>
      </w:r>
      <w:proofErr w:type="spellEnd"/>
      <w:r w:rsidR="00705D43">
        <w:t xml:space="preserve"> Capital Partners, Pioneer AM, and </w:t>
      </w:r>
      <w:proofErr w:type="spellStart"/>
      <w:r w:rsidR="00705D43">
        <w:t>Synergo</w:t>
      </w:r>
      <w:proofErr w:type="spellEnd"/>
      <w:r w:rsidR="00705D43">
        <w:t xml:space="preserve"> </w:t>
      </w:r>
      <w:proofErr w:type="spellStart"/>
      <w:r w:rsidR="00705D43">
        <w:t>Ubi</w:t>
      </w:r>
      <w:proofErr w:type="spellEnd"/>
      <w:r w:rsidR="00705D43">
        <w:t xml:space="preserve"> </w:t>
      </w:r>
      <w:proofErr w:type="spellStart"/>
      <w:r w:rsidR="00705D43">
        <w:t>Pramerica</w:t>
      </w:r>
      <w:proofErr w:type="spellEnd"/>
      <w:r>
        <w:t xml:space="preserve">”, </w:t>
      </w:r>
      <w:proofErr w:type="spellStart"/>
      <w:r>
        <w:t>Gaspari</w:t>
      </w:r>
      <w:proofErr w:type="spellEnd"/>
      <w:r>
        <w:t xml:space="preserve"> observes</w:t>
      </w:r>
    </w:p>
    <w:p w:rsidR="00705D43" w:rsidRDefault="00705D43" w:rsidP="005E009A">
      <w:pPr>
        <w:jc w:val="both"/>
      </w:pPr>
    </w:p>
    <w:p w:rsidR="00705D43" w:rsidRDefault="00705D43" w:rsidP="005E009A">
      <w:pPr>
        <w:jc w:val="both"/>
      </w:pPr>
    </w:p>
    <w:p w:rsidR="00705D43" w:rsidRPr="00705D43" w:rsidRDefault="00705D43" w:rsidP="005E009A">
      <w:pPr>
        <w:jc w:val="both"/>
        <w:rPr>
          <w:b/>
        </w:rPr>
      </w:pPr>
      <w:r w:rsidRPr="00705D43">
        <w:rPr>
          <w:b/>
        </w:rPr>
        <w:t>ETFs</w:t>
      </w:r>
    </w:p>
    <w:p w:rsidR="005C708F" w:rsidRDefault="005C708F" w:rsidP="005E009A">
      <w:pPr>
        <w:jc w:val="both"/>
      </w:pPr>
      <w:r>
        <w:t xml:space="preserve">Moving on to </w:t>
      </w:r>
      <w:r w:rsidRPr="005C708F">
        <w:rPr>
          <w:b/>
        </w:rPr>
        <w:t>ETFs</w:t>
      </w:r>
      <w:r>
        <w:t xml:space="preserve">, in all of the major categories, the first choice is always a product of </w:t>
      </w:r>
      <w:proofErr w:type="spellStart"/>
      <w:r>
        <w:t>iShares</w:t>
      </w:r>
      <w:proofErr w:type="spellEnd"/>
      <w:r>
        <w:t xml:space="preserve"> with</w:t>
      </w:r>
    </w:p>
    <w:p w:rsidR="003E70B2" w:rsidRDefault="005C708F" w:rsidP="005E009A">
      <w:pPr>
        <w:jc w:val="both"/>
      </w:pPr>
      <w:proofErr w:type="gramStart"/>
      <w:r>
        <w:t>the</w:t>
      </w:r>
      <w:proofErr w:type="gramEnd"/>
      <w:r>
        <w:t xml:space="preserve"> exception of the segment of hedge funds and absolute return products in which an ETF by UBS prevail.</w:t>
      </w:r>
    </w:p>
    <w:p w:rsidR="003E70B2" w:rsidRDefault="003E70B2" w:rsidP="005E009A">
      <w:pPr>
        <w:jc w:val="both"/>
      </w:pPr>
    </w:p>
    <w:p w:rsidR="003E70B2" w:rsidRDefault="003E70B2" w:rsidP="005E009A">
      <w:pPr>
        <w:jc w:val="both"/>
      </w:pPr>
    </w:p>
    <w:p w:rsidR="002D1223" w:rsidRPr="007978E8" w:rsidRDefault="002D1223" w:rsidP="005E009A">
      <w:pPr>
        <w:jc w:val="both"/>
        <w:rPr>
          <w:b/>
        </w:rPr>
      </w:pPr>
      <w:r w:rsidRPr="007978E8">
        <w:rPr>
          <w:b/>
        </w:rPr>
        <w:t xml:space="preserve">The most widely chosen </w:t>
      </w:r>
      <w:r>
        <w:rPr>
          <w:b/>
        </w:rPr>
        <w:t>ETFs providers</w:t>
      </w:r>
      <w:r w:rsidRPr="007978E8">
        <w:rPr>
          <w:b/>
        </w:rPr>
        <w:t xml:space="preserve"> by Italian fund selectors</w:t>
      </w:r>
    </w:p>
    <w:p w:rsidR="002D1223" w:rsidRDefault="002D1223" w:rsidP="005E009A">
      <w:pPr>
        <w:jc w:val="both"/>
      </w:pPr>
    </w:p>
    <w:p w:rsidR="003E70B2" w:rsidRDefault="002D1223" w:rsidP="005E009A">
      <w:pPr>
        <w:jc w:val="both"/>
      </w:pPr>
      <w:r w:rsidRPr="002D1223">
        <w:rPr>
          <w:noProof/>
          <w:lang w:eastAsia="en-GB"/>
        </w:rPr>
        <w:drawing>
          <wp:inline distT="0" distB="0" distL="0" distR="0">
            <wp:extent cx="4764051" cy="2436941"/>
            <wp:effectExtent l="19050" t="0" r="0" b="0"/>
            <wp:docPr id="25"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4767710" cy="2438813"/>
                    </a:xfrm>
                    <a:prstGeom prst="rect">
                      <a:avLst/>
                    </a:prstGeom>
                    <a:noFill/>
                    <a:ln w="9525">
                      <a:noFill/>
                      <a:miter lim="800000"/>
                      <a:headEnd/>
                      <a:tailEnd/>
                    </a:ln>
                  </pic:spPr>
                </pic:pic>
              </a:graphicData>
            </a:graphic>
          </wp:inline>
        </w:drawing>
      </w:r>
    </w:p>
    <w:p w:rsidR="002D1223" w:rsidRDefault="002D1223" w:rsidP="005E009A">
      <w:pPr>
        <w:jc w:val="both"/>
      </w:pPr>
      <w:r w:rsidRPr="00473B26">
        <w:rPr>
          <w:i/>
          <w:sz w:val="20"/>
          <w:szCs w:val="20"/>
          <w:lang w:val="en-US"/>
        </w:rPr>
        <w:t xml:space="preserve">Source: </w:t>
      </w:r>
      <w:r w:rsidRPr="000B78E2">
        <w:rPr>
          <w:i/>
          <w:sz w:val="20"/>
          <w:szCs w:val="20"/>
          <w:lang w:val="en-US"/>
        </w:rPr>
        <w:t xml:space="preserve">Fund selector survey 2013, </w:t>
      </w:r>
      <w:proofErr w:type="spellStart"/>
      <w:r w:rsidRPr="000B78E2">
        <w:rPr>
          <w:i/>
          <w:sz w:val="20"/>
          <w:szCs w:val="20"/>
          <w:lang w:val="en-US"/>
        </w:rPr>
        <w:t>MondoAlternative</w:t>
      </w:r>
      <w:proofErr w:type="spellEnd"/>
      <w:r w:rsidRPr="000B78E2">
        <w:rPr>
          <w:i/>
          <w:sz w:val="20"/>
          <w:szCs w:val="20"/>
          <w:lang w:val="en-US"/>
        </w:rPr>
        <w:t>.</w:t>
      </w:r>
      <w:r w:rsidRPr="00473B26">
        <w:rPr>
          <w:sz w:val="20"/>
          <w:szCs w:val="20"/>
          <w:lang w:val="en-US"/>
        </w:rPr>
        <w:tab/>
      </w:r>
      <w:r w:rsidRPr="00473B26">
        <w:rPr>
          <w:sz w:val="20"/>
          <w:szCs w:val="20"/>
          <w:lang w:val="en-US"/>
        </w:rPr>
        <w:tab/>
      </w:r>
      <w:r w:rsidRPr="00473B26">
        <w:rPr>
          <w:sz w:val="20"/>
          <w:szCs w:val="20"/>
          <w:lang w:val="en-US"/>
        </w:rPr>
        <w:tab/>
      </w:r>
      <w:r w:rsidRPr="00473B26">
        <w:rPr>
          <w:sz w:val="20"/>
          <w:szCs w:val="20"/>
          <w:lang w:val="en-US"/>
        </w:rPr>
        <w:tab/>
      </w:r>
      <w:r>
        <w:rPr>
          <w:sz w:val="20"/>
          <w:szCs w:val="20"/>
          <w:lang w:val="en-US"/>
        </w:rPr>
        <w:tab/>
      </w:r>
      <w:r w:rsidRPr="00473B26">
        <w:rPr>
          <w:sz w:val="20"/>
          <w:szCs w:val="20"/>
          <w:lang w:val="en-US"/>
        </w:rPr>
        <w:tab/>
      </w:r>
      <w:r w:rsidRPr="00473B26">
        <w:rPr>
          <w:i/>
          <w:sz w:val="20"/>
          <w:szCs w:val="20"/>
          <w:lang w:val="en-US"/>
        </w:rPr>
        <w:t xml:space="preserve">Chart </w:t>
      </w:r>
      <w:r>
        <w:rPr>
          <w:i/>
          <w:sz w:val="20"/>
          <w:szCs w:val="20"/>
          <w:lang w:val="en-US"/>
        </w:rPr>
        <w:t>5</w:t>
      </w:r>
    </w:p>
    <w:p w:rsidR="003E70B2" w:rsidRDefault="003E70B2" w:rsidP="005E009A">
      <w:pPr>
        <w:jc w:val="both"/>
      </w:pPr>
    </w:p>
    <w:p w:rsidR="003E70B2" w:rsidRDefault="003E70B2" w:rsidP="005E009A">
      <w:pPr>
        <w:jc w:val="both"/>
      </w:pPr>
    </w:p>
    <w:p w:rsidR="00705D43" w:rsidRDefault="00705D43" w:rsidP="005E009A">
      <w:pPr>
        <w:jc w:val="both"/>
      </w:pPr>
    </w:p>
    <w:p w:rsidR="00705D43" w:rsidRDefault="00705D43" w:rsidP="005E009A">
      <w:pPr>
        <w:jc w:val="both"/>
      </w:pPr>
    </w:p>
    <w:p w:rsidR="00C71FE8" w:rsidRDefault="00C71FE8" w:rsidP="005E009A">
      <w:pPr>
        <w:jc w:val="both"/>
        <w:rPr>
          <w:b/>
        </w:rPr>
      </w:pPr>
      <w:r w:rsidRPr="007978E8">
        <w:rPr>
          <w:b/>
        </w:rPr>
        <w:t xml:space="preserve">The most widely chosen </w:t>
      </w:r>
      <w:r>
        <w:rPr>
          <w:b/>
        </w:rPr>
        <w:t>ETFs providers</w:t>
      </w:r>
      <w:r w:rsidRPr="007978E8">
        <w:rPr>
          <w:b/>
        </w:rPr>
        <w:t xml:space="preserve"> by Italian fund selectors</w:t>
      </w:r>
      <w:r>
        <w:rPr>
          <w:b/>
        </w:rPr>
        <w:t>, breakdown by asset class</w:t>
      </w:r>
    </w:p>
    <w:p w:rsidR="00705D43" w:rsidRDefault="00705D43" w:rsidP="005E009A">
      <w:pPr>
        <w:jc w:val="both"/>
        <w:rPr>
          <w:b/>
        </w:rPr>
      </w:pPr>
    </w:p>
    <w:p w:rsidR="00705D43" w:rsidRDefault="00705D43" w:rsidP="005E009A">
      <w:pPr>
        <w:jc w:val="both"/>
        <w:rPr>
          <w:b/>
        </w:rPr>
      </w:pPr>
    </w:p>
    <w:p w:rsidR="00C71FE8" w:rsidRPr="007978E8" w:rsidRDefault="00C71FE8" w:rsidP="005E009A">
      <w:pPr>
        <w:jc w:val="both"/>
        <w:rPr>
          <w:b/>
        </w:rPr>
      </w:pPr>
    </w:p>
    <w:p w:rsidR="003E70B2" w:rsidRDefault="00705D43" w:rsidP="005E009A">
      <w:pPr>
        <w:jc w:val="both"/>
      </w:pPr>
      <w:r w:rsidRPr="00705D43">
        <w:rPr>
          <w:noProof/>
          <w:lang w:eastAsia="en-GB"/>
        </w:rPr>
        <w:drawing>
          <wp:inline distT="0" distB="0" distL="0" distR="0">
            <wp:extent cx="3470483" cy="2081027"/>
            <wp:effectExtent l="19050" t="0" r="0" b="0"/>
            <wp:docPr id="3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3473660" cy="2082932"/>
                    </a:xfrm>
                    <a:prstGeom prst="rect">
                      <a:avLst/>
                    </a:prstGeom>
                    <a:noFill/>
                    <a:ln w="9525">
                      <a:noFill/>
                      <a:miter lim="800000"/>
                      <a:headEnd/>
                      <a:tailEnd/>
                    </a:ln>
                  </pic:spPr>
                </pic:pic>
              </a:graphicData>
            </a:graphic>
          </wp:inline>
        </w:drawing>
      </w:r>
      <w:r w:rsidR="00C71FE8" w:rsidRPr="00C71FE8">
        <w:rPr>
          <w:noProof/>
          <w:lang w:eastAsia="en-GB"/>
        </w:rPr>
        <w:drawing>
          <wp:anchor distT="0" distB="0" distL="114300" distR="114300" simplePos="0" relativeHeight="251658752" behindDoc="1" locked="0" layoutInCell="1" allowOverlap="1">
            <wp:simplePos x="0" y="0"/>
            <wp:positionH relativeFrom="column">
              <wp:posOffset>-438785</wp:posOffset>
            </wp:positionH>
            <wp:positionV relativeFrom="paragraph">
              <wp:posOffset>-635</wp:posOffset>
            </wp:positionV>
            <wp:extent cx="3429635" cy="2051050"/>
            <wp:effectExtent l="19050" t="0" r="0" b="0"/>
            <wp:wrapTight wrapText="bothSides">
              <wp:wrapPolygon edited="0">
                <wp:start x="-120" y="0"/>
                <wp:lineTo x="-120" y="21466"/>
                <wp:lineTo x="21596" y="21466"/>
                <wp:lineTo x="21596" y="0"/>
                <wp:lineTo x="-120" y="0"/>
              </wp:wrapPolygon>
            </wp:wrapTight>
            <wp:docPr id="26"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3429635" cy="2051050"/>
                    </a:xfrm>
                    <a:prstGeom prst="rect">
                      <a:avLst/>
                    </a:prstGeom>
                    <a:noFill/>
                    <a:ln w="9525">
                      <a:noFill/>
                      <a:miter lim="800000"/>
                      <a:headEnd/>
                      <a:tailEnd/>
                    </a:ln>
                  </pic:spPr>
                </pic:pic>
              </a:graphicData>
            </a:graphic>
          </wp:anchor>
        </w:drawing>
      </w:r>
    </w:p>
    <w:p w:rsidR="003E70B2" w:rsidRDefault="003E70B2" w:rsidP="005E009A">
      <w:pPr>
        <w:jc w:val="both"/>
      </w:pPr>
    </w:p>
    <w:p w:rsidR="003E70B2" w:rsidRDefault="00705D43" w:rsidP="005E009A">
      <w:pPr>
        <w:jc w:val="both"/>
      </w:pPr>
      <w:r>
        <w:rPr>
          <w:noProof/>
          <w:lang w:eastAsia="en-GB"/>
        </w:rPr>
        <w:lastRenderedPageBreak/>
        <w:drawing>
          <wp:anchor distT="0" distB="0" distL="114300" distR="114300" simplePos="0" relativeHeight="251659776" behindDoc="0" locked="0" layoutInCell="1" allowOverlap="1">
            <wp:simplePos x="0" y="0"/>
            <wp:positionH relativeFrom="column">
              <wp:posOffset>-240030</wp:posOffset>
            </wp:positionH>
            <wp:positionV relativeFrom="paragraph">
              <wp:posOffset>172720</wp:posOffset>
            </wp:positionV>
            <wp:extent cx="3115310" cy="1876425"/>
            <wp:effectExtent l="19050" t="0" r="8890" b="0"/>
            <wp:wrapSquare wrapText="bothSides"/>
            <wp:docPr id="28"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3115310" cy="18764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800" behindDoc="0" locked="0" layoutInCell="1" allowOverlap="1">
            <wp:simplePos x="0" y="0"/>
            <wp:positionH relativeFrom="column">
              <wp:posOffset>3141980</wp:posOffset>
            </wp:positionH>
            <wp:positionV relativeFrom="paragraph">
              <wp:posOffset>172720</wp:posOffset>
            </wp:positionV>
            <wp:extent cx="3139440" cy="1884045"/>
            <wp:effectExtent l="19050" t="0" r="3810" b="0"/>
            <wp:wrapSquare wrapText="bothSides"/>
            <wp:docPr id="35"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3139440" cy="1884045"/>
                    </a:xfrm>
                    <a:prstGeom prst="rect">
                      <a:avLst/>
                    </a:prstGeom>
                    <a:noFill/>
                    <a:ln w="9525">
                      <a:noFill/>
                      <a:miter lim="800000"/>
                      <a:headEnd/>
                      <a:tailEnd/>
                    </a:ln>
                  </pic:spPr>
                </pic:pic>
              </a:graphicData>
            </a:graphic>
          </wp:anchor>
        </w:drawing>
      </w:r>
    </w:p>
    <w:p w:rsidR="00C71FE8" w:rsidRDefault="00705D43" w:rsidP="005E009A">
      <w:pPr>
        <w:jc w:val="both"/>
      </w:pPr>
      <w:r w:rsidRPr="00705D43">
        <w:rPr>
          <w:noProof/>
          <w:lang w:eastAsia="en-GB"/>
        </w:rPr>
        <w:drawing>
          <wp:anchor distT="0" distB="0" distL="114300" distR="114300" simplePos="0" relativeHeight="251662848" behindDoc="0" locked="0" layoutInCell="1" allowOverlap="1">
            <wp:simplePos x="0" y="0"/>
            <wp:positionH relativeFrom="column">
              <wp:posOffset>3187065</wp:posOffset>
            </wp:positionH>
            <wp:positionV relativeFrom="paragraph">
              <wp:posOffset>-255905</wp:posOffset>
            </wp:positionV>
            <wp:extent cx="3240405" cy="1947545"/>
            <wp:effectExtent l="19050" t="0" r="0" b="0"/>
            <wp:wrapSquare wrapText="bothSides"/>
            <wp:docPr id="3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srcRect/>
                    <a:stretch>
                      <a:fillRect/>
                    </a:stretch>
                  </pic:blipFill>
                  <pic:spPr bwMode="auto">
                    <a:xfrm>
                      <a:off x="0" y="0"/>
                      <a:ext cx="3240405" cy="194754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simplePos x="0" y="0"/>
            <wp:positionH relativeFrom="column">
              <wp:posOffset>-73025</wp:posOffset>
            </wp:positionH>
            <wp:positionV relativeFrom="paragraph">
              <wp:posOffset>-184785</wp:posOffset>
            </wp:positionV>
            <wp:extent cx="3117850" cy="1876425"/>
            <wp:effectExtent l="19050" t="0" r="6350" b="0"/>
            <wp:wrapSquare wrapText="bothSides"/>
            <wp:docPr id="37"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3117850" cy="1876425"/>
                    </a:xfrm>
                    <a:prstGeom prst="rect">
                      <a:avLst/>
                    </a:prstGeom>
                    <a:noFill/>
                    <a:ln w="9525">
                      <a:noFill/>
                      <a:miter lim="800000"/>
                      <a:headEnd/>
                      <a:tailEnd/>
                    </a:ln>
                  </pic:spPr>
                </pic:pic>
              </a:graphicData>
            </a:graphic>
          </wp:anchor>
        </w:drawing>
      </w:r>
    </w:p>
    <w:p w:rsidR="00C71FE8" w:rsidRDefault="00C71FE8" w:rsidP="005E009A">
      <w:pPr>
        <w:jc w:val="both"/>
      </w:pPr>
    </w:p>
    <w:p w:rsidR="00C71FE8" w:rsidRDefault="00C71FE8" w:rsidP="005E009A">
      <w:pPr>
        <w:jc w:val="both"/>
      </w:pPr>
    </w:p>
    <w:p w:rsidR="00C71FE8" w:rsidRDefault="00C71FE8" w:rsidP="005E009A">
      <w:pPr>
        <w:jc w:val="both"/>
      </w:pPr>
    </w:p>
    <w:p w:rsidR="003E70B2" w:rsidRDefault="003E70B2" w:rsidP="005E009A">
      <w:pPr>
        <w:jc w:val="both"/>
      </w:pPr>
    </w:p>
    <w:p w:rsidR="003939BA" w:rsidRDefault="003939BA" w:rsidP="005E009A">
      <w:pPr>
        <w:jc w:val="both"/>
      </w:pPr>
    </w:p>
    <w:p w:rsidR="003939BA" w:rsidRPr="005C7E44" w:rsidRDefault="003939BA" w:rsidP="005E009A">
      <w:pPr>
        <w:jc w:val="both"/>
        <w:rPr>
          <w:lang w:val="en-US"/>
        </w:rPr>
      </w:pPr>
    </w:p>
    <w:p w:rsidR="00473B26" w:rsidRDefault="00473B26" w:rsidP="005E009A">
      <w:pPr>
        <w:jc w:val="both"/>
        <w:rPr>
          <w:lang w:val="en-US"/>
        </w:rPr>
      </w:pPr>
    </w:p>
    <w:p w:rsidR="007B49F5" w:rsidRPr="00064CF3" w:rsidRDefault="007B49F5" w:rsidP="005E009A">
      <w:pPr>
        <w:jc w:val="both"/>
        <w:rPr>
          <w:lang w:val="en-US"/>
        </w:rPr>
      </w:pPr>
    </w:p>
    <w:p w:rsidR="00CF4FF9" w:rsidRDefault="00CF4FF9" w:rsidP="005E009A">
      <w:pPr>
        <w:jc w:val="both"/>
        <w:rPr>
          <w:b/>
          <w:lang w:val="en-US"/>
        </w:rPr>
      </w:pPr>
      <w:r w:rsidRPr="00A97344">
        <w:rPr>
          <w:b/>
          <w:lang w:val="en-US"/>
        </w:rPr>
        <w:t>END</w:t>
      </w:r>
    </w:p>
    <w:p w:rsidR="00CF4FF9" w:rsidRPr="00A97344" w:rsidRDefault="00CF4FF9" w:rsidP="005E009A">
      <w:pPr>
        <w:jc w:val="both"/>
        <w:rPr>
          <w:b/>
          <w:lang w:val="en-US"/>
        </w:rPr>
      </w:pPr>
    </w:p>
    <w:p w:rsidR="00CF4FF9" w:rsidRPr="00C60C6E" w:rsidRDefault="00CF4FF9" w:rsidP="005E009A">
      <w:pPr>
        <w:jc w:val="both"/>
        <w:rPr>
          <w:b/>
          <w:lang w:val="en-US"/>
        </w:rPr>
      </w:pPr>
      <w:r w:rsidRPr="00C60C6E">
        <w:rPr>
          <w:b/>
          <w:lang w:val="en-US"/>
        </w:rPr>
        <w:t xml:space="preserve">Inquiries: </w:t>
      </w:r>
      <w:r w:rsidR="005E009A">
        <w:rPr>
          <w:b/>
          <w:lang w:val="en-US"/>
        </w:rPr>
        <w:t xml:space="preserve">Stefano </w:t>
      </w:r>
      <w:proofErr w:type="spellStart"/>
      <w:r w:rsidR="005E009A">
        <w:rPr>
          <w:b/>
          <w:lang w:val="en-US"/>
        </w:rPr>
        <w:t>Gaspari</w:t>
      </w:r>
      <w:proofErr w:type="spellEnd"/>
    </w:p>
    <w:p w:rsidR="00CF4FF9" w:rsidRPr="00C60C6E" w:rsidRDefault="00CF4FF9" w:rsidP="005E009A">
      <w:pPr>
        <w:jc w:val="both"/>
        <w:rPr>
          <w:b/>
          <w:lang w:val="en-US"/>
        </w:rPr>
      </w:pPr>
      <w:r w:rsidRPr="00C60C6E">
        <w:rPr>
          <w:b/>
          <w:lang w:val="en-US"/>
        </w:rPr>
        <w:t>Tel (direct): +39 02 67339151</w:t>
      </w:r>
    </w:p>
    <w:p w:rsidR="00CF4FF9" w:rsidRPr="00C60C6E" w:rsidRDefault="00CF4FF9" w:rsidP="005E009A">
      <w:pPr>
        <w:jc w:val="both"/>
        <w:rPr>
          <w:b/>
          <w:lang w:val="en-US"/>
        </w:rPr>
      </w:pPr>
      <w:r w:rsidRPr="00C60C6E">
        <w:rPr>
          <w:b/>
          <w:lang w:val="en-US"/>
        </w:rPr>
        <w:t xml:space="preserve">Mail: </w:t>
      </w:r>
      <w:r w:rsidR="005E009A">
        <w:rPr>
          <w:b/>
          <w:lang w:val="en-US"/>
        </w:rPr>
        <w:t>stefano.gaspari@mondoalternative.com</w:t>
      </w:r>
    </w:p>
    <w:p w:rsidR="00CF4FF9" w:rsidRPr="00CF4FF9" w:rsidRDefault="00CF4FF9" w:rsidP="005E009A">
      <w:pPr>
        <w:jc w:val="both"/>
        <w:rPr>
          <w:u w:val="single"/>
          <w:lang w:val="en-US"/>
        </w:rPr>
      </w:pPr>
    </w:p>
    <w:p w:rsidR="0004034E" w:rsidRPr="00B64450" w:rsidRDefault="0004034E" w:rsidP="005E009A">
      <w:pPr>
        <w:jc w:val="both"/>
        <w:rPr>
          <w:sz w:val="20"/>
          <w:szCs w:val="20"/>
          <w:lang w:val="en-US"/>
        </w:rPr>
      </w:pPr>
    </w:p>
    <w:p w:rsidR="00A97344" w:rsidRPr="00B64450" w:rsidRDefault="00CF4FF9" w:rsidP="005E009A">
      <w:pPr>
        <w:jc w:val="both"/>
        <w:rPr>
          <w:sz w:val="20"/>
          <w:szCs w:val="20"/>
          <w:lang w:val="en-US"/>
        </w:rPr>
      </w:pPr>
      <w:r w:rsidRPr="00B64450">
        <w:rPr>
          <w:b/>
          <w:sz w:val="20"/>
          <w:szCs w:val="20"/>
          <w:u w:val="single"/>
          <w:lang w:val="en-US"/>
        </w:rPr>
        <w:t>About MondoAlternative</w:t>
      </w:r>
    </w:p>
    <w:p w:rsidR="00B078AD" w:rsidRPr="00B64450" w:rsidRDefault="00B078AD" w:rsidP="005E009A">
      <w:pPr>
        <w:jc w:val="both"/>
        <w:rPr>
          <w:sz w:val="20"/>
          <w:szCs w:val="20"/>
          <w:lang w:val="en-US"/>
        </w:rPr>
      </w:pPr>
      <w:r w:rsidRPr="00B64450">
        <w:rPr>
          <w:sz w:val="20"/>
          <w:szCs w:val="20"/>
          <w:lang w:val="en-US"/>
        </w:rPr>
        <w:t>MondoAlternative, who has born from the ten-year experience of MondoHedge, is the first and only Italian multimedia provider of financial information entirely dedicated on alternative investments.</w:t>
      </w:r>
    </w:p>
    <w:p w:rsidR="00B078AD" w:rsidRPr="00B64450" w:rsidRDefault="00B078AD" w:rsidP="005E009A">
      <w:pPr>
        <w:jc w:val="both"/>
        <w:rPr>
          <w:sz w:val="20"/>
          <w:szCs w:val="20"/>
          <w:lang w:val="en-US"/>
        </w:rPr>
      </w:pPr>
      <w:r w:rsidRPr="00B64450">
        <w:rPr>
          <w:sz w:val="20"/>
          <w:szCs w:val="20"/>
          <w:lang w:val="en-US"/>
        </w:rPr>
        <w:t xml:space="preserve">MondoAlternative offers the following services with its website </w:t>
      </w:r>
      <w:hyperlink r:id="rId28" w:history="1">
        <w:r w:rsidRPr="00B64450">
          <w:rPr>
            <w:sz w:val="20"/>
            <w:szCs w:val="20"/>
            <w:lang w:val="en-US"/>
          </w:rPr>
          <w:t>www.mondoalternative.com</w:t>
        </w:r>
      </w:hyperlink>
      <w:r w:rsidRPr="00B64450">
        <w:rPr>
          <w:sz w:val="20"/>
          <w:szCs w:val="20"/>
          <w:lang w:val="en-US"/>
        </w:rPr>
        <w:t xml:space="preserve">: the access to a Database with report of quantitative and qualitative analysis for all the Italian hedge funds, more than </w:t>
      </w:r>
      <w:r w:rsidR="00CF4FF9" w:rsidRPr="00B64450">
        <w:rPr>
          <w:sz w:val="20"/>
          <w:szCs w:val="20"/>
          <w:lang w:val="en-US"/>
        </w:rPr>
        <w:t>1.500</w:t>
      </w:r>
      <w:r w:rsidRPr="00B64450">
        <w:rPr>
          <w:sz w:val="20"/>
          <w:szCs w:val="20"/>
          <w:lang w:val="en-US"/>
        </w:rPr>
        <w:t xml:space="preserve"> offshore hedge funds, the investible indices, the alternative UCITS funds and calculates the </w:t>
      </w:r>
      <w:proofErr w:type="spellStart"/>
      <w:r w:rsidRPr="00B64450">
        <w:rPr>
          <w:sz w:val="20"/>
          <w:szCs w:val="20"/>
          <w:lang w:val="en-US"/>
        </w:rPr>
        <w:t>indeces</w:t>
      </w:r>
      <w:proofErr w:type="spellEnd"/>
      <w:r w:rsidRPr="00B64450">
        <w:rPr>
          <w:sz w:val="20"/>
          <w:szCs w:val="20"/>
          <w:lang w:val="en-US"/>
        </w:rPr>
        <w:t xml:space="preserve"> of the Italian FOHFs and of the alternative UCITS funds in collaboration with </w:t>
      </w:r>
      <w:proofErr w:type="spellStart"/>
      <w:r w:rsidRPr="00B64450">
        <w:rPr>
          <w:sz w:val="20"/>
          <w:szCs w:val="20"/>
          <w:lang w:val="en-US"/>
        </w:rPr>
        <w:t>Eurizon</w:t>
      </w:r>
      <w:proofErr w:type="spellEnd"/>
      <w:r w:rsidRPr="00B64450">
        <w:rPr>
          <w:sz w:val="20"/>
          <w:szCs w:val="20"/>
          <w:lang w:val="en-US"/>
        </w:rPr>
        <w:t xml:space="preserve"> Capital</w:t>
      </w:r>
      <w:r w:rsidR="00183941" w:rsidRPr="00B64450">
        <w:rPr>
          <w:sz w:val="20"/>
          <w:szCs w:val="20"/>
          <w:lang w:val="en-US"/>
        </w:rPr>
        <w:t xml:space="preserve"> </w:t>
      </w:r>
      <w:proofErr w:type="spellStart"/>
      <w:r w:rsidR="00183941" w:rsidRPr="00B64450">
        <w:rPr>
          <w:sz w:val="20"/>
          <w:szCs w:val="20"/>
          <w:lang w:val="en-US"/>
        </w:rPr>
        <w:t>Sgr</w:t>
      </w:r>
      <w:proofErr w:type="spellEnd"/>
      <w:r w:rsidRPr="00B64450">
        <w:rPr>
          <w:sz w:val="20"/>
          <w:szCs w:val="20"/>
          <w:lang w:val="en-US"/>
        </w:rPr>
        <w:t>.</w:t>
      </w:r>
    </w:p>
    <w:p w:rsidR="00B078AD" w:rsidRPr="00B64450" w:rsidRDefault="00B078AD" w:rsidP="005E009A">
      <w:pPr>
        <w:jc w:val="both"/>
        <w:rPr>
          <w:sz w:val="20"/>
          <w:szCs w:val="20"/>
          <w:lang w:val="en-US"/>
        </w:rPr>
      </w:pPr>
      <w:r w:rsidRPr="00B64450">
        <w:rPr>
          <w:sz w:val="20"/>
          <w:szCs w:val="20"/>
          <w:lang w:val="en-US"/>
        </w:rPr>
        <w:t>The editorial products are the monthly magazine MondoAlternative in Italian and the quarterly magazine MondoAlternative in English version, plus periodical dossiers about specific topics.</w:t>
      </w:r>
    </w:p>
    <w:p w:rsidR="00B078AD" w:rsidRPr="00B64450" w:rsidRDefault="00B078AD" w:rsidP="005E009A">
      <w:pPr>
        <w:pStyle w:val="HTMLPreformatted"/>
        <w:jc w:val="both"/>
        <w:rPr>
          <w:rFonts w:ascii="Calibri" w:eastAsia="Calibri" w:hAnsi="Calibri" w:cs="Times New Roman"/>
          <w:lang w:val="en-US" w:eastAsia="en-US"/>
        </w:rPr>
      </w:pPr>
      <w:r w:rsidRPr="00B64450">
        <w:rPr>
          <w:rFonts w:ascii="Calibri" w:eastAsia="Calibri" w:hAnsi="Calibri" w:cs="Times New Roman"/>
          <w:lang w:val="en-US" w:eastAsia="en-US"/>
        </w:rPr>
        <w:t xml:space="preserve">In January 2010 it started an additional research and editorial hub through the acquisition of ETF Consulting and the launch, by ETF Consulting, of </w:t>
      </w:r>
      <w:proofErr w:type="spellStart"/>
      <w:r w:rsidRPr="00B64450">
        <w:rPr>
          <w:rFonts w:ascii="Calibri" w:eastAsia="Calibri" w:hAnsi="Calibri" w:cs="Times New Roman"/>
          <w:lang w:val="en-US" w:eastAsia="en-US"/>
        </w:rPr>
        <w:t>MondoETF</w:t>
      </w:r>
      <w:proofErr w:type="spellEnd"/>
      <w:r w:rsidRPr="00B64450">
        <w:rPr>
          <w:rFonts w:ascii="Calibri" w:eastAsia="Calibri" w:hAnsi="Calibri" w:cs="Times New Roman"/>
          <w:lang w:val="en-US" w:eastAsia="en-US"/>
        </w:rPr>
        <w:t>, the first Italian monthly magazine focused on ETF and ETC markets.</w:t>
      </w:r>
    </w:p>
    <w:p w:rsidR="00B078AD" w:rsidRPr="00B64450" w:rsidRDefault="00B078AD" w:rsidP="005E009A">
      <w:pPr>
        <w:jc w:val="both"/>
        <w:rPr>
          <w:rFonts w:ascii="Tahoma" w:eastAsia="Times New Roman" w:hAnsi="Tahoma" w:cs="Tahoma"/>
          <w:sz w:val="20"/>
          <w:szCs w:val="20"/>
          <w:lang w:eastAsia="it-IT"/>
        </w:rPr>
      </w:pPr>
    </w:p>
    <w:p w:rsidR="00A97344" w:rsidRPr="00B64450" w:rsidRDefault="00B078AD" w:rsidP="005E009A">
      <w:pPr>
        <w:pStyle w:val="HTMLPreformatted"/>
        <w:jc w:val="both"/>
        <w:rPr>
          <w:rFonts w:ascii="Tahoma" w:hAnsi="Tahoma" w:cs="Tahoma"/>
          <w:lang w:val="en-US"/>
        </w:rPr>
      </w:pPr>
      <w:r w:rsidRPr="00B64450">
        <w:rPr>
          <w:rFonts w:ascii="Tahoma" w:hAnsi="Tahoma" w:cs="Tahoma"/>
          <w:lang w:val="en-GB"/>
        </w:rPr>
        <w:t xml:space="preserve">Contact: </w:t>
      </w:r>
      <w:r w:rsidRPr="00B64450">
        <w:rPr>
          <w:rFonts w:ascii="Tahoma" w:hAnsi="Tahoma" w:cs="Tahoma"/>
          <w:lang w:val="en-US"/>
        </w:rPr>
        <w:t xml:space="preserve">Tel. +39 02 67339151 – </w:t>
      </w:r>
      <w:hyperlink r:id="rId29" w:history="1">
        <w:r w:rsidRPr="00B64450">
          <w:rPr>
            <w:rStyle w:val="Hyperlink"/>
            <w:rFonts w:ascii="Tahoma" w:hAnsi="Tahoma" w:cs="Tahoma"/>
            <w:color w:val="auto"/>
            <w:u w:val="none"/>
            <w:lang w:val="en-US"/>
          </w:rPr>
          <w:t>info@mondoalternative.com</w:t>
        </w:r>
      </w:hyperlink>
      <w:r w:rsidRPr="00B64450">
        <w:rPr>
          <w:rFonts w:ascii="Tahoma" w:hAnsi="Tahoma" w:cs="Tahoma"/>
          <w:lang w:val="en-US"/>
        </w:rPr>
        <w:t xml:space="preserve"> – </w:t>
      </w:r>
      <w:hyperlink w:history="1">
        <w:r w:rsidRPr="00B64450">
          <w:rPr>
            <w:rStyle w:val="Hyperlink"/>
            <w:rFonts w:ascii="Tahoma" w:hAnsi="Tahoma" w:cs="Tahoma"/>
            <w:color w:val="auto"/>
            <w:u w:val="none"/>
            <w:lang w:val="en-US"/>
          </w:rPr>
          <w:t xml:space="preserve">www.mondoalternative.com  </w:t>
        </w:r>
      </w:hyperlink>
    </w:p>
    <w:sectPr w:rsidR="00A97344" w:rsidRPr="00B64450" w:rsidSect="00C41A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7B" w:rsidRDefault="002B557B" w:rsidP="00C60C6E">
      <w:r>
        <w:separator/>
      </w:r>
    </w:p>
  </w:endnote>
  <w:endnote w:type="continuationSeparator" w:id="0">
    <w:p w:rsidR="002B557B" w:rsidRDefault="002B557B" w:rsidP="00C6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7B" w:rsidRDefault="002B557B" w:rsidP="00C60C6E">
      <w:r>
        <w:separator/>
      </w:r>
    </w:p>
  </w:footnote>
  <w:footnote w:type="continuationSeparator" w:id="0">
    <w:p w:rsidR="002B557B" w:rsidRDefault="002B557B" w:rsidP="00C60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8B6"/>
    <w:multiLevelType w:val="hybridMultilevel"/>
    <w:tmpl w:val="50F2EA4C"/>
    <w:lvl w:ilvl="0" w:tplc="04B8436A">
      <w:start w:val="1"/>
      <w:numFmt w:val="bullet"/>
      <w:lvlText w:val="•"/>
      <w:lvlJc w:val="left"/>
      <w:pPr>
        <w:tabs>
          <w:tab w:val="num" w:pos="720"/>
        </w:tabs>
        <w:ind w:left="720" w:hanging="360"/>
      </w:pPr>
      <w:rPr>
        <w:rFonts w:ascii="Arial" w:hAnsi="Arial" w:hint="default"/>
      </w:rPr>
    </w:lvl>
    <w:lvl w:ilvl="1" w:tplc="BB8A357A" w:tentative="1">
      <w:start w:val="1"/>
      <w:numFmt w:val="bullet"/>
      <w:lvlText w:val="•"/>
      <w:lvlJc w:val="left"/>
      <w:pPr>
        <w:tabs>
          <w:tab w:val="num" w:pos="1440"/>
        </w:tabs>
        <w:ind w:left="1440" w:hanging="360"/>
      </w:pPr>
      <w:rPr>
        <w:rFonts w:ascii="Arial" w:hAnsi="Arial" w:hint="default"/>
      </w:rPr>
    </w:lvl>
    <w:lvl w:ilvl="2" w:tplc="F2C07AD4" w:tentative="1">
      <w:start w:val="1"/>
      <w:numFmt w:val="bullet"/>
      <w:lvlText w:val="•"/>
      <w:lvlJc w:val="left"/>
      <w:pPr>
        <w:tabs>
          <w:tab w:val="num" w:pos="2160"/>
        </w:tabs>
        <w:ind w:left="2160" w:hanging="360"/>
      </w:pPr>
      <w:rPr>
        <w:rFonts w:ascii="Arial" w:hAnsi="Arial" w:hint="default"/>
      </w:rPr>
    </w:lvl>
    <w:lvl w:ilvl="3" w:tplc="BE0ED712" w:tentative="1">
      <w:start w:val="1"/>
      <w:numFmt w:val="bullet"/>
      <w:lvlText w:val="•"/>
      <w:lvlJc w:val="left"/>
      <w:pPr>
        <w:tabs>
          <w:tab w:val="num" w:pos="2880"/>
        </w:tabs>
        <w:ind w:left="2880" w:hanging="360"/>
      </w:pPr>
      <w:rPr>
        <w:rFonts w:ascii="Arial" w:hAnsi="Arial" w:hint="default"/>
      </w:rPr>
    </w:lvl>
    <w:lvl w:ilvl="4" w:tplc="5FE8C956" w:tentative="1">
      <w:start w:val="1"/>
      <w:numFmt w:val="bullet"/>
      <w:lvlText w:val="•"/>
      <w:lvlJc w:val="left"/>
      <w:pPr>
        <w:tabs>
          <w:tab w:val="num" w:pos="3600"/>
        </w:tabs>
        <w:ind w:left="3600" w:hanging="360"/>
      </w:pPr>
      <w:rPr>
        <w:rFonts w:ascii="Arial" w:hAnsi="Arial" w:hint="default"/>
      </w:rPr>
    </w:lvl>
    <w:lvl w:ilvl="5" w:tplc="768C6F04" w:tentative="1">
      <w:start w:val="1"/>
      <w:numFmt w:val="bullet"/>
      <w:lvlText w:val="•"/>
      <w:lvlJc w:val="left"/>
      <w:pPr>
        <w:tabs>
          <w:tab w:val="num" w:pos="4320"/>
        </w:tabs>
        <w:ind w:left="4320" w:hanging="360"/>
      </w:pPr>
      <w:rPr>
        <w:rFonts w:ascii="Arial" w:hAnsi="Arial" w:hint="default"/>
      </w:rPr>
    </w:lvl>
    <w:lvl w:ilvl="6" w:tplc="89585FDC" w:tentative="1">
      <w:start w:val="1"/>
      <w:numFmt w:val="bullet"/>
      <w:lvlText w:val="•"/>
      <w:lvlJc w:val="left"/>
      <w:pPr>
        <w:tabs>
          <w:tab w:val="num" w:pos="5040"/>
        </w:tabs>
        <w:ind w:left="5040" w:hanging="360"/>
      </w:pPr>
      <w:rPr>
        <w:rFonts w:ascii="Arial" w:hAnsi="Arial" w:hint="default"/>
      </w:rPr>
    </w:lvl>
    <w:lvl w:ilvl="7" w:tplc="E1588114" w:tentative="1">
      <w:start w:val="1"/>
      <w:numFmt w:val="bullet"/>
      <w:lvlText w:val="•"/>
      <w:lvlJc w:val="left"/>
      <w:pPr>
        <w:tabs>
          <w:tab w:val="num" w:pos="5760"/>
        </w:tabs>
        <w:ind w:left="5760" w:hanging="360"/>
      </w:pPr>
      <w:rPr>
        <w:rFonts w:ascii="Arial" w:hAnsi="Arial" w:hint="default"/>
      </w:rPr>
    </w:lvl>
    <w:lvl w:ilvl="8" w:tplc="6624E89C" w:tentative="1">
      <w:start w:val="1"/>
      <w:numFmt w:val="bullet"/>
      <w:lvlText w:val="•"/>
      <w:lvlJc w:val="left"/>
      <w:pPr>
        <w:tabs>
          <w:tab w:val="num" w:pos="6480"/>
        </w:tabs>
        <w:ind w:left="6480" w:hanging="360"/>
      </w:pPr>
      <w:rPr>
        <w:rFonts w:ascii="Arial" w:hAnsi="Arial" w:hint="default"/>
      </w:rPr>
    </w:lvl>
  </w:abstractNum>
  <w:abstractNum w:abstractNumId="1">
    <w:nsid w:val="10361FBB"/>
    <w:multiLevelType w:val="hybridMultilevel"/>
    <w:tmpl w:val="FA206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EB4863"/>
    <w:multiLevelType w:val="hybridMultilevel"/>
    <w:tmpl w:val="6A582CEE"/>
    <w:lvl w:ilvl="0" w:tplc="ED0460FE">
      <w:start w:val="1"/>
      <w:numFmt w:val="bullet"/>
      <w:lvlText w:val="•"/>
      <w:lvlJc w:val="left"/>
      <w:pPr>
        <w:tabs>
          <w:tab w:val="num" w:pos="720"/>
        </w:tabs>
        <w:ind w:left="720" w:hanging="360"/>
      </w:pPr>
      <w:rPr>
        <w:rFonts w:ascii="Arial" w:hAnsi="Arial" w:hint="default"/>
      </w:rPr>
    </w:lvl>
    <w:lvl w:ilvl="1" w:tplc="663A53C2" w:tentative="1">
      <w:start w:val="1"/>
      <w:numFmt w:val="bullet"/>
      <w:lvlText w:val="•"/>
      <w:lvlJc w:val="left"/>
      <w:pPr>
        <w:tabs>
          <w:tab w:val="num" w:pos="1440"/>
        </w:tabs>
        <w:ind w:left="1440" w:hanging="360"/>
      </w:pPr>
      <w:rPr>
        <w:rFonts w:ascii="Arial" w:hAnsi="Arial" w:hint="default"/>
      </w:rPr>
    </w:lvl>
    <w:lvl w:ilvl="2" w:tplc="9034BABE" w:tentative="1">
      <w:start w:val="1"/>
      <w:numFmt w:val="bullet"/>
      <w:lvlText w:val="•"/>
      <w:lvlJc w:val="left"/>
      <w:pPr>
        <w:tabs>
          <w:tab w:val="num" w:pos="2160"/>
        </w:tabs>
        <w:ind w:left="2160" w:hanging="360"/>
      </w:pPr>
      <w:rPr>
        <w:rFonts w:ascii="Arial" w:hAnsi="Arial" w:hint="default"/>
      </w:rPr>
    </w:lvl>
    <w:lvl w:ilvl="3" w:tplc="C5A4C8B4" w:tentative="1">
      <w:start w:val="1"/>
      <w:numFmt w:val="bullet"/>
      <w:lvlText w:val="•"/>
      <w:lvlJc w:val="left"/>
      <w:pPr>
        <w:tabs>
          <w:tab w:val="num" w:pos="2880"/>
        </w:tabs>
        <w:ind w:left="2880" w:hanging="360"/>
      </w:pPr>
      <w:rPr>
        <w:rFonts w:ascii="Arial" w:hAnsi="Arial" w:hint="default"/>
      </w:rPr>
    </w:lvl>
    <w:lvl w:ilvl="4" w:tplc="15443A24" w:tentative="1">
      <w:start w:val="1"/>
      <w:numFmt w:val="bullet"/>
      <w:lvlText w:val="•"/>
      <w:lvlJc w:val="left"/>
      <w:pPr>
        <w:tabs>
          <w:tab w:val="num" w:pos="3600"/>
        </w:tabs>
        <w:ind w:left="3600" w:hanging="360"/>
      </w:pPr>
      <w:rPr>
        <w:rFonts w:ascii="Arial" w:hAnsi="Arial" w:hint="default"/>
      </w:rPr>
    </w:lvl>
    <w:lvl w:ilvl="5" w:tplc="E970F3E8" w:tentative="1">
      <w:start w:val="1"/>
      <w:numFmt w:val="bullet"/>
      <w:lvlText w:val="•"/>
      <w:lvlJc w:val="left"/>
      <w:pPr>
        <w:tabs>
          <w:tab w:val="num" w:pos="4320"/>
        </w:tabs>
        <w:ind w:left="4320" w:hanging="360"/>
      </w:pPr>
      <w:rPr>
        <w:rFonts w:ascii="Arial" w:hAnsi="Arial" w:hint="default"/>
      </w:rPr>
    </w:lvl>
    <w:lvl w:ilvl="6" w:tplc="C4744F44" w:tentative="1">
      <w:start w:val="1"/>
      <w:numFmt w:val="bullet"/>
      <w:lvlText w:val="•"/>
      <w:lvlJc w:val="left"/>
      <w:pPr>
        <w:tabs>
          <w:tab w:val="num" w:pos="5040"/>
        </w:tabs>
        <w:ind w:left="5040" w:hanging="360"/>
      </w:pPr>
      <w:rPr>
        <w:rFonts w:ascii="Arial" w:hAnsi="Arial" w:hint="default"/>
      </w:rPr>
    </w:lvl>
    <w:lvl w:ilvl="7" w:tplc="4B148E36" w:tentative="1">
      <w:start w:val="1"/>
      <w:numFmt w:val="bullet"/>
      <w:lvlText w:val="•"/>
      <w:lvlJc w:val="left"/>
      <w:pPr>
        <w:tabs>
          <w:tab w:val="num" w:pos="5760"/>
        </w:tabs>
        <w:ind w:left="5760" w:hanging="360"/>
      </w:pPr>
      <w:rPr>
        <w:rFonts w:ascii="Arial" w:hAnsi="Arial" w:hint="default"/>
      </w:rPr>
    </w:lvl>
    <w:lvl w:ilvl="8" w:tplc="47C0151C" w:tentative="1">
      <w:start w:val="1"/>
      <w:numFmt w:val="bullet"/>
      <w:lvlText w:val="•"/>
      <w:lvlJc w:val="left"/>
      <w:pPr>
        <w:tabs>
          <w:tab w:val="num" w:pos="6480"/>
        </w:tabs>
        <w:ind w:left="6480" w:hanging="360"/>
      </w:pPr>
      <w:rPr>
        <w:rFonts w:ascii="Arial" w:hAnsi="Arial" w:hint="default"/>
      </w:rPr>
    </w:lvl>
  </w:abstractNum>
  <w:abstractNum w:abstractNumId="3">
    <w:nsid w:val="4B9D0761"/>
    <w:multiLevelType w:val="hybridMultilevel"/>
    <w:tmpl w:val="68E45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82173F"/>
    <w:multiLevelType w:val="hybridMultilevel"/>
    <w:tmpl w:val="E8943AAE"/>
    <w:lvl w:ilvl="0" w:tplc="9A76238C">
      <w:start w:val="1"/>
      <w:numFmt w:val="bullet"/>
      <w:lvlText w:val="•"/>
      <w:lvlJc w:val="left"/>
      <w:pPr>
        <w:tabs>
          <w:tab w:val="num" w:pos="720"/>
        </w:tabs>
        <w:ind w:left="720" w:hanging="360"/>
      </w:pPr>
      <w:rPr>
        <w:rFonts w:ascii="Arial" w:hAnsi="Arial" w:hint="default"/>
      </w:rPr>
    </w:lvl>
    <w:lvl w:ilvl="1" w:tplc="F500961A" w:tentative="1">
      <w:start w:val="1"/>
      <w:numFmt w:val="bullet"/>
      <w:lvlText w:val="•"/>
      <w:lvlJc w:val="left"/>
      <w:pPr>
        <w:tabs>
          <w:tab w:val="num" w:pos="1440"/>
        </w:tabs>
        <w:ind w:left="1440" w:hanging="360"/>
      </w:pPr>
      <w:rPr>
        <w:rFonts w:ascii="Arial" w:hAnsi="Arial" w:hint="default"/>
      </w:rPr>
    </w:lvl>
    <w:lvl w:ilvl="2" w:tplc="E94A6C08" w:tentative="1">
      <w:start w:val="1"/>
      <w:numFmt w:val="bullet"/>
      <w:lvlText w:val="•"/>
      <w:lvlJc w:val="left"/>
      <w:pPr>
        <w:tabs>
          <w:tab w:val="num" w:pos="2160"/>
        </w:tabs>
        <w:ind w:left="2160" w:hanging="360"/>
      </w:pPr>
      <w:rPr>
        <w:rFonts w:ascii="Arial" w:hAnsi="Arial" w:hint="default"/>
      </w:rPr>
    </w:lvl>
    <w:lvl w:ilvl="3" w:tplc="D592F67E" w:tentative="1">
      <w:start w:val="1"/>
      <w:numFmt w:val="bullet"/>
      <w:lvlText w:val="•"/>
      <w:lvlJc w:val="left"/>
      <w:pPr>
        <w:tabs>
          <w:tab w:val="num" w:pos="2880"/>
        </w:tabs>
        <w:ind w:left="2880" w:hanging="360"/>
      </w:pPr>
      <w:rPr>
        <w:rFonts w:ascii="Arial" w:hAnsi="Arial" w:hint="default"/>
      </w:rPr>
    </w:lvl>
    <w:lvl w:ilvl="4" w:tplc="E7AEB35A" w:tentative="1">
      <w:start w:val="1"/>
      <w:numFmt w:val="bullet"/>
      <w:lvlText w:val="•"/>
      <w:lvlJc w:val="left"/>
      <w:pPr>
        <w:tabs>
          <w:tab w:val="num" w:pos="3600"/>
        </w:tabs>
        <w:ind w:left="3600" w:hanging="360"/>
      </w:pPr>
      <w:rPr>
        <w:rFonts w:ascii="Arial" w:hAnsi="Arial" w:hint="default"/>
      </w:rPr>
    </w:lvl>
    <w:lvl w:ilvl="5" w:tplc="147075C0" w:tentative="1">
      <w:start w:val="1"/>
      <w:numFmt w:val="bullet"/>
      <w:lvlText w:val="•"/>
      <w:lvlJc w:val="left"/>
      <w:pPr>
        <w:tabs>
          <w:tab w:val="num" w:pos="4320"/>
        </w:tabs>
        <w:ind w:left="4320" w:hanging="360"/>
      </w:pPr>
      <w:rPr>
        <w:rFonts w:ascii="Arial" w:hAnsi="Arial" w:hint="default"/>
      </w:rPr>
    </w:lvl>
    <w:lvl w:ilvl="6" w:tplc="A0D0BC12" w:tentative="1">
      <w:start w:val="1"/>
      <w:numFmt w:val="bullet"/>
      <w:lvlText w:val="•"/>
      <w:lvlJc w:val="left"/>
      <w:pPr>
        <w:tabs>
          <w:tab w:val="num" w:pos="5040"/>
        </w:tabs>
        <w:ind w:left="5040" w:hanging="360"/>
      </w:pPr>
      <w:rPr>
        <w:rFonts w:ascii="Arial" w:hAnsi="Arial" w:hint="default"/>
      </w:rPr>
    </w:lvl>
    <w:lvl w:ilvl="7" w:tplc="97CAB3CC" w:tentative="1">
      <w:start w:val="1"/>
      <w:numFmt w:val="bullet"/>
      <w:lvlText w:val="•"/>
      <w:lvlJc w:val="left"/>
      <w:pPr>
        <w:tabs>
          <w:tab w:val="num" w:pos="5760"/>
        </w:tabs>
        <w:ind w:left="5760" w:hanging="360"/>
      </w:pPr>
      <w:rPr>
        <w:rFonts w:ascii="Arial" w:hAnsi="Arial" w:hint="default"/>
      </w:rPr>
    </w:lvl>
    <w:lvl w:ilvl="8" w:tplc="3B28F1FE" w:tentative="1">
      <w:start w:val="1"/>
      <w:numFmt w:val="bullet"/>
      <w:lvlText w:val="•"/>
      <w:lvlJc w:val="left"/>
      <w:pPr>
        <w:tabs>
          <w:tab w:val="num" w:pos="6480"/>
        </w:tabs>
        <w:ind w:left="6480" w:hanging="360"/>
      </w:pPr>
      <w:rPr>
        <w:rFonts w:ascii="Arial" w:hAnsi="Arial" w:hint="default"/>
      </w:rPr>
    </w:lvl>
  </w:abstractNum>
  <w:abstractNum w:abstractNumId="5">
    <w:nsid w:val="7C2452E6"/>
    <w:multiLevelType w:val="hybridMultilevel"/>
    <w:tmpl w:val="4382368A"/>
    <w:lvl w:ilvl="0" w:tplc="C1DCA4B8">
      <w:start w:val="1"/>
      <w:numFmt w:val="bullet"/>
      <w:lvlText w:val="•"/>
      <w:lvlJc w:val="left"/>
      <w:pPr>
        <w:tabs>
          <w:tab w:val="num" w:pos="720"/>
        </w:tabs>
        <w:ind w:left="720" w:hanging="360"/>
      </w:pPr>
      <w:rPr>
        <w:rFonts w:ascii="Arial" w:hAnsi="Arial" w:hint="default"/>
      </w:rPr>
    </w:lvl>
    <w:lvl w:ilvl="1" w:tplc="A6EAD238" w:tentative="1">
      <w:start w:val="1"/>
      <w:numFmt w:val="bullet"/>
      <w:lvlText w:val="•"/>
      <w:lvlJc w:val="left"/>
      <w:pPr>
        <w:tabs>
          <w:tab w:val="num" w:pos="1440"/>
        </w:tabs>
        <w:ind w:left="1440" w:hanging="360"/>
      </w:pPr>
      <w:rPr>
        <w:rFonts w:ascii="Arial" w:hAnsi="Arial" w:hint="default"/>
      </w:rPr>
    </w:lvl>
    <w:lvl w:ilvl="2" w:tplc="3BDCCFBA" w:tentative="1">
      <w:start w:val="1"/>
      <w:numFmt w:val="bullet"/>
      <w:lvlText w:val="•"/>
      <w:lvlJc w:val="left"/>
      <w:pPr>
        <w:tabs>
          <w:tab w:val="num" w:pos="2160"/>
        </w:tabs>
        <w:ind w:left="2160" w:hanging="360"/>
      </w:pPr>
      <w:rPr>
        <w:rFonts w:ascii="Arial" w:hAnsi="Arial" w:hint="default"/>
      </w:rPr>
    </w:lvl>
    <w:lvl w:ilvl="3" w:tplc="C9FA2492" w:tentative="1">
      <w:start w:val="1"/>
      <w:numFmt w:val="bullet"/>
      <w:lvlText w:val="•"/>
      <w:lvlJc w:val="left"/>
      <w:pPr>
        <w:tabs>
          <w:tab w:val="num" w:pos="2880"/>
        </w:tabs>
        <w:ind w:left="2880" w:hanging="360"/>
      </w:pPr>
      <w:rPr>
        <w:rFonts w:ascii="Arial" w:hAnsi="Arial" w:hint="default"/>
      </w:rPr>
    </w:lvl>
    <w:lvl w:ilvl="4" w:tplc="3B464A52" w:tentative="1">
      <w:start w:val="1"/>
      <w:numFmt w:val="bullet"/>
      <w:lvlText w:val="•"/>
      <w:lvlJc w:val="left"/>
      <w:pPr>
        <w:tabs>
          <w:tab w:val="num" w:pos="3600"/>
        </w:tabs>
        <w:ind w:left="3600" w:hanging="360"/>
      </w:pPr>
      <w:rPr>
        <w:rFonts w:ascii="Arial" w:hAnsi="Arial" w:hint="default"/>
      </w:rPr>
    </w:lvl>
    <w:lvl w:ilvl="5" w:tplc="818693B8" w:tentative="1">
      <w:start w:val="1"/>
      <w:numFmt w:val="bullet"/>
      <w:lvlText w:val="•"/>
      <w:lvlJc w:val="left"/>
      <w:pPr>
        <w:tabs>
          <w:tab w:val="num" w:pos="4320"/>
        </w:tabs>
        <w:ind w:left="4320" w:hanging="360"/>
      </w:pPr>
      <w:rPr>
        <w:rFonts w:ascii="Arial" w:hAnsi="Arial" w:hint="default"/>
      </w:rPr>
    </w:lvl>
    <w:lvl w:ilvl="6" w:tplc="90324530" w:tentative="1">
      <w:start w:val="1"/>
      <w:numFmt w:val="bullet"/>
      <w:lvlText w:val="•"/>
      <w:lvlJc w:val="left"/>
      <w:pPr>
        <w:tabs>
          <w:tab w:val="num" w:pos="5040"/>
        </w:tabs>
        <w:ind w:left="5040" w:hanging="360"/>
      </w:pPr>
      <w:rPr>
        <w:rFonts w:ascii="Arial" w:hAnsi="Arial" w:hint="default"/>
      </w:rPr>
    </w:lvl>
    <w:lvl w:ilvl="7" w:tplc="D996CB4C" w:tentative="1">
      <w:start w:val="1"/>
      <w:numFmt w:val="bullet"/>
      <w:lvlText w:val="•"/>
      <w:lvlJc w:val="left"/>
      <w:pPr>
        <w:tabs>
          <w:tab w:val="num" w:pos="5760"/>
        </w:tabs>
        <w:ind w:left="5760" w:hanging="360"/>
      </w:pPr>
      <w:rPr>
        <w:rFonts w:ascii="Arial" w:hAnsi="Arial" w:hint="default"/>
      </w:rPr>
    </w:lvl>
    <w:lvl w:ilvl="8" w:tplc="9A60DBF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3C"/>
    <w:rsid w:val="0004034E"/>
    <w:rsid w:val="0005667F"/>
    <w:rsid w:val="00064CF3"/>
    <w:rsid w:val="00084AFC"/>
    <w:rsid w:val="000A2610"/>
    <w:rsid w:val="000B4FD3"/>
    <w:rsid w:val="000B78E2"/>
    <w:rsid w:val="00100876"/>
    <w:rsid w:val="00102CE1"/>
    <w:rsid w:val="001067D1"/>
    <w:rsid w:val="00154B6A"/>
    <w:rsid w:val="00164BBF"/>
    <w:rsid w:val="00183941"/>
    <w:rsid w:val="001909F7"/>
    <w:rsid w:val="001A17D7"/>
    <w:rsid w:val="001A5013"/>
    <w:rsid w:val="001D0E6D"/>
    <w:rsid w:val="001E6C92"/>
    <w:rsid w:val="001F5F38"/>
    <w:rsid w:val="001F7B5B"/>
    <w:rsid w:val="00200804"/>
    <w:rsid w:val="00207564"/>
    <w:rsid w:val="00232F96"/>
    <w:rsid w:val="002541FA"/>
    <w:rsid w:val="0027517C"/>
    <w:rsid w:val="002A02A1"/>
    <w:rsid w:val="002B557B"/>
    <w:rsid w:val="002D1223"/>
    <w:rsid w:val="00307B2B"/>
    <w:rsid w:val="00310306"/>
    <w:rsid w:val="003253E8"/>
    <w:rsid w:val="003279AA"/>
    <w:rsid w:val="00345126"/>
    <w:rsid w:val="00357229"/>
    <w:rsid w:val="00376F0F"/>
    <w:rsid w:val="003939BA"/>
    <w:rsid w:val="003B1F4A"/>
    <w:rsid w:val="003B5AA5"/>
    <w:rsid w:val="003D17ED"/>
    <w:rsid w:val="003E70B2"/>
    <w:rsid w:val="003F6A15"/>
    <w:rsid w:val="00450C2C"/>
    <w:rsid w:val="00473B26"/>
    <w:rsid w:val="0048477E"/>
    <w:rsid w:val="004C10BB"/>
    <w:rsid w:val="004D22C3"/>
    <w:rsid w:val="004E7513"/>
    <w:rsid w:val="00504822"/>
    <w:rsid w:val="00511B1C"/>
    <w:rsid w:val="005156D2"/>
    <w:rsid w:val="00515949"/>
    <w:rsid w:val="00530191"/>
    <w:rsid w:val="00540B4E"/>
    <w:rsid w:val="00563DAE"/>
    <w:rsid w:val="005C708F"/>
    <w:rsid w:val="005C7E44"/>
    <w:rsid w:val="005E009A"/>
    <w:rsid w:val="005E2B25"/>
    <w:rsid w:val="005E58A4"/>
    <w:rsid w:val="005F32DE"/>
    <w:rsid w:val="00612942"/>
    <w:rsid w:val="00613871"/>
    <w:rsid w:val="006357BB"/>
    <w:rsid w:val="00635A65"/>
    <w:rsid w:val="00677B63"/>
    <w:rsid w:val="00682D0E"/>
    <w:rsid w:val="006A7399"/>
    <w:rsid w:val="006A7418"/>
    <w:rsid w:val="006F1D2C"/>
    <w:rsid w:val="006F1FB4"/>
    <w:rsid w:val="006F237E"/>
    <w:rsid w:val="006F249D"/>
    <w:rsid w:val="006F4847"/>
    <w:rsid w:val="00700C72"/>
    <w:rsid w:val="00703EED"/>
    <w:rsid w:val="00705D43"/>
    <w:rsid w:val="0071493A"/>
    <w:rsid w:val="007525A3"/>
    <w:rsid w:val="007978E8"/>
    <w:rsid w:val="007A0C11"/>
    <w:rsid w:val="007B49F5"/>
    <w:rsid w:val="007F2BBC"/>
    <w:rsid w:val="007F61C3"/>
    <w:rsid w:val="00820E7C"/>
    <w:rsid w:val="0082281F"/>
    <w:rsid w:val="00826903"/>
    <w:rsid w:val="00856BCA"/>
    <w:rsid w:val="00857B04"/>
    <w:rsid w:val="008849FE"/>
    <w:rsid w:val="008956B6"/>
    <w:rsid w:val="008C6E6C"/>
    <w:rsid w:val="008D4961"/>
    <w:rsid w:val="00927C7C"/>
    <w:rsid w:val="0099548F"/>
    <w:rsid w:val="0099741B"/>
    <w:rsid w:val="009F0712"/>
    <w:rsid w:val="009F7091"/>
    <w:rsid w:val="00A11E22"/>
    <w:rsid w:val="00A21CBB"/>
    <w:rsid w:val="00A3374D"/>
    <w:rsid w:val="00A93DE6"/>
    <w:rsid w:val="00A97344"/>
    <w:rsid w:val="00AC1B77"/>
    <w:rsid w:val="00AE2312"/>
    <w:rsid w:val="00AE3DE6"/>
    <w:rsid w:val="00B078AD"/>
    <w:rsid w:val="00B123DC"/>
    <w:rsid w:val="00B4483D"/>
    <w:rsid w:val="00B513CA"/>
    <w:rsid w:val="00B51649"/>
    <w:rsid w:val="00B64450"/>
    <w:rsid w:val="00BA403C"/>
    <w:rsid w:val="00BC65D8"/>
    <w:rsid w:val="00BE031F"/>
    <w:rsid w:val="00C41A41"/>
    <w:rsid w:val="00C43EEA"/>
    <w:rsid w:val="00C507AA"/>
    <w:rsid w:val="00C54EF7"/>
    <w:rsid w:val="00C60C6E"/>
    <w:rsid w:val="00C71FE8"/>
    <w:rsid w:val="00C80CC9"/>
    <w:rsid w:val="00C90580"/>
    <w:rsid w:val="00CB2A95"/>
    <w:rsid w:val="00CF4FF9"/>
    <w:rsid w:val="00CF5996"/>
    <w:rsid w:val="00D14869"/>
    <w:rsid w:val="00D238BF"/>
    <w:rsid w:val="00D36659"/>
    <w:rsid w:val="00DA5CC2"/>
    <w:rsid w:val="00E34D56"/>
    <w:rsid w:val="00E47E0D"/>
    <w:rsid w:val="00E72348"/>
    <w:rsid w:val="00E91437"/>
    <w:rsid w:val="00EA40DA"/>
    <w:rsid w:val="00EB6979"/>
    <w:rsid w:val="00EB6C37"/>
    <w:rsid w:val="00ED5806"/>
    <w:rsid w:val="00F02D50"/>
    <w:rsid w:val="00F91601"/>
    <w:rsid w:val="00FB28D0"/>
    <w:rsid w:val="00FC1EA3"/>
    <w:rsid w:val="00FD2E0F"/>
    <w:rsid w:val="00FF7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41"/>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312"/>
    <w:rPr>
      <w:color w:val="0000FF"/>
      <w:u w:val="single"/>
    </w:rPr>
  </w:style>
  <w:style w:type="character" w:styleId="FollowedHyperlink">
    <w:name w:val="FollowedHyperlink"/>
    <w:basedOn w:val="DefaultParagraphFont"/>
    <w:uiPriority w:val="99"/>
    <w:semiHidden/>
    <w:unhideWhenUsed/>
    <w:rsid w:val="00AE2312"/>
    <w:rPr>
      <w:color w:val="800080"/>
      <w:u w:val="single"/>
    </w:rPr>
  </w:style>
  <w:style w:type="paragraph" w:styleId="HTMLPreformatted">
    <w:name w:val="HTML Preformatted"/>
    <w:basedOn w:val="Normal"/>
    <w:link w:val="HTMLPreformattedChar"/>
    <w:uiPriority w:val="99"/>
    <w:unhideWhenUsed/>
    <w:rsid w:val="00B0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B078AD"/>
    <w:rPr>
      <w:rFonts w:ascii="Courier New" w:eastAsia="Times New Roman" w:hAnsi="Courier New" w:cs="Courier New"/>
      <w:sz w:val="20"/>
      <w:szCs w:val="20"/>
      <w:lang w:eastAsia="it-IT"/>
    </w:rPr>
  </w:style>
  <w:style w:type="paragraph" w:styleId="BalloonText">
    <w:name w:val="Balloon Text"/>
    <w:basedOn w:val="Normal"/>
    <w:link w:val="BalloonTextChar"/>
    <w:uiPriority w:val="99"/>
    <w:semiHidden/>
    <w:unhideWhenUsed/>
    <w:rsid w:val="00B078AD"/>
    <w:rPr>
      <w:rFonts w:ascii="Tahoma" w:hAnsi="Tahoma" w:cs="Tahoma"/>
      <w:sz w:val="16"/>
      <w:szCs w:val="16"/>
    </w:rPr>
  </w:style>
  <w:style w:type="character" w:customStyle="1" w:styleId="BalloonTextChar">
    <w:name w:val="Balloon Text Char"/>
    <w:basedOn w:val="DefaultParagraphFont"/>
    <w:link w:val="BalloonText"/>
    <w:uiPriority w:val="99"/>
    <w:semiHidden/>
    <w:rsid w:val="00B078AD"/>
    <w:rPr>
      <w:rFonts w:ascii="Tahoma" w:hAnsi="Tahoma" w:cs="Tahoma"/>
      <w:sz w:val="16"/>
      <w:szCs w:val="16"/>
      <w:lang w:val="en-GB"/>
    </w:rPr>
  </w:style>
  <w:style w:type="paragraph" w:styleId="Header">
    <w:name w:val="header"/>
    <w:basedOn w:val="Normal"/>
    <w:link w:val="HeaderChar"/>
    <w:uiPriority w:val="99"/>
    <w:semiHidden/>
    <w:unhideWhenUsed/>
    <w:rsid w:val="00C60C6E"/>
    <w:pPr>
      <w:tabs>
        <w:tab w:val="center" w:pos="4819"/>
        <w:tab w:val="right" w:pos="9638"/>
      </w:tabs>
    </w:pPr>
  </w:style>
  <w:style w:type="character" w:customStyle="1" w:styleId="HeaderChar">
    <w:name w:val="Header Char"/>
    <w:basedOn w:val="DefaultParagraphFont"/>
    <w:link w:val="Header"/>
    <w:uiPriority w:val="99"/>
    <w:semiHidden/>
    <w:rsid w:val="00C60C6E"/>
    <w:rPr>
      <w:lang w:val="en-GB"/>
    </w:rPr>
  </w:style>
  <w:style w:type="paragraph" w:styleId="Footer">
    <w:name w:val="footer"/>
    <w:basedOn w:val="Normal"/>
    <w:link w:val="FooterChar"/>
    <w:uiPriority w:val="99"/>
    <w:semiHidden/>
    <w:unhideWhenUsed/>
    <w:rsid w:val="00C60C6E"/>
    <w:pPr>
      <w:tabs>
        <w:tab w:val="center" w:pos="4819"/>
        <w:tab w:val="right" w:pos="9638"/>
      </w:tabs>
    </w:pPr>
  </w:style>
  <w:style w:type="character" w:customStyle="1" w:styleId="FooterChar">
    <w:name w:val="Footer Char"/>
    <w:basedOn w:val="DefaultParagraphFont"/>
    <w:link w:val="Footer"/>
    <w:uiPriority w:val="99"/>
    <w:semiHidden/>
    <w:rsid w:val="00C60C6E"/>
    <w:rPr>
      <w:lang w:val="en-GB"/>
    </w:rPr>
  </w:style>
  <w:style w:type="paragraph" w:styleId="ListParagraph">
    <w:name w:val="List Paragraph"/>
    <w:basedOn w:val="Normal"/>
    <w:uiPriority w:val="34"/>
    <w:qFormat/>
    <w:rsid w:val="00E34D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41"/>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312"/>
    <w:rPr>
      <w:color w:val="0000FF"/>
      <w:u w:val="single"/>
    </w:rPr>
  </w:style>
  <w:style w:type="character" w:styleId="FollowedHyperlink">
    <w:name w:val="FollowedHyperlink"/>
    <w:basedOn w:val="DefaultParagraphFont"/>
    <w:uiPriority w:val="99"/>
    <w:semiHidden/>
    <w:unhideWhenUsed/>
    <w:rsid w:val="00AE2312"/>
    <w:rPr>
      <w:color w:val="800080"/>
      <w:u w:val="single"/>
    </w:rPr>
  </w:style>
  <w:style w:type="paragraph" w:styleId="HTMLPreformatted">
    <w:name w:val="HTML Preformatted"/>
    <w:basedOn w:val="Normal"/>
    <w:link w:val="HTMLPreformattedChar"/>
    <w:uiPriority w:val="99"/>
    <w:unhideWhenUsed/>
    <w:rsid w:val="00B07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B078AD"/>
    <w:rPr>
      <w:rFonts w:ascii="Courier New" w:eastAsia="Times New Roman" w:hAnsi="Courier New" w:cs="Courier New"/>
      <w:sz w:val="20"/>
      <w:szCs w:val="20"/>
      <w:lang w:eastAsia="it-IT"/>
    </w:rPr>
  </w:style>
  <w:style w:type="paragraph" w:styleId="BalloonText">
    <w:name w:val="Balloon Text"/>
    <w:basedOn w:val="Normal"/>
    <w:link w:val="BalloonTextChar"/>
    <w:uiPriority w:val="99"/>
    <w:semiHidden/>
    <w:unhideWhenUsed/>
    <w:rsid w:val="00B078AD"/>
    <w:rPr>
      <w:rFonts w:ascii="Tahoma" w:hAnsi="Tahoma" w:cs="Tahoma"/>
      <w:sz w:val="16"/>
      <w:szCs w:val="16"/>
    </w:rPr>
  </w:style>
  <w:style w:type="character" w:customStyle="1" w:styleId="BalloonTextChar">
    <w:name w:val="Balloon Text Char"/>
    <w:basedOn w:val="DefaultParagraphFont"/>
    <w:link w:val="BalloonText"/>
    <w:uiPriority w:val="99"/>
    <w:semiHidden/>
    <w:rsid w:val="00B078AD"/>
    <w:rPr>
      <w:rFonts w:ascii="Tahoma" w:hAnsi="Tahoma" w:cs="Tahoma"/>
      <w:sz w:val="16"/>
      <w:szCs w:val="16"/>
      <w:lang w:val="en-GB"/>
    </w:rPr>
  </w:style>
  <w:style w:type="paragraph" w:styleId="Header">
    <w:name w:val="header"/>
    <w:basedOn w:val="Normal"/>
    <w:link w:val="HeaderChar"/>
    <w:uiPriority w:val="99"/>
    <w:semiHidden/>
    <w:unhideWhenUsed/>
    <w:rsid w:val="00C60C6E"/>
    <w:pPr>
      <w:tabs>
        <w:tab w:val="center" w:pos="4819"/>
        <w:tab w:val="right" w:pos="9638"/>
      </w:tabs>
    </w:pPr>
  </w:style>
  <w:style w:type="character" w:customStyle="1" w:styleId="HeaderChar">
    <w:name w:val="Header Char"/>
    <w:basedOn w:val="DefaultParagraphFont"/>
    <w:link w:val="Header"/>
    <w:uiPriority w:val="99"/>
    <w:semiHidden/>
    <w:rsid w:val="00C60C6E"/>
    <w:rPr>
      <w:lang w:val="en-GB"/>
    </w:rPr>
  </w:style>
  <w:style w:type="paragraph" w:styleId="Footer">
    <w:name w:val="footer"/>
    <w:basedOn w:val="Normal"/>
    <w:link w:val="FooterChar"/>
    <w:uiPriority w:val="99"/>
    <w:semiHidden/>
    <w:unhideWhenUsed/>
    <w:rsid w:val="00C60C6E"/>
    <w:pPr>
      <w:tabs>
        <w:tab w:val="center" w:pos="4819"/>
        <w:tab w:val="right" w:pos="9638"/>
      </w:tabs>
    </w:pPr>
  </w:style>
  <w:style w:type="character" w:customStyle="1" w:styleId="FooterChar">
    <w:name w:val="Footer Char"/>
    <w:basedOn w:val="DefaultParagraphFont"/>
    <w:link w:val="Footer"/>
    <w:uiPriority w:val="99"/>
    <w:semiHidden/>
    <w:rsid w:val="00C60C6E"/>
    <w:rPr>
      <w:lang w:val="en-GB"/>
    </w:rPr>
  </w:style>
  <w:style w:type="paragraph" w:styleId="ListParagraph">
    <w:name w:val="List Paragraph"/>
    <w:basedOn w:val="Normal"/>
    <w:uiPriority w:val="34"/>
    <w:qFormat/>
    <w:rsid w:val="00E34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1206">
      <w:bodyDiv w:val="1"/>
      <w:marLeft w:val="0"/>
      <w:marRight w:val="0"/>
      <w:marTop w:val="0"/>
      <w:marBottom w:val="0"/>
      <w:divBdr>
        <w:top w:val="none" w:sz="0" w:space="0" w:color="auto"/>
        <w:left w:val="none" w:sz="0" w:space="0" w:color="auto"/>
        <w:bottom w:val="none" w:sz="0" w:space="0" w:color="auto"/>
        <w:right w:val="none" w:sz="0" w:space="0" w:color="auto"/>
      </w:divBdr>
    </w:div>
    <w:div w:id="213125422">
      <w:bodyDiv w:val="1"/>
      <w:marLeft w:val="0"/>
      <w:marRight w:val="0"/>
      <w:marTop w:val="0"/>
      <w:marBottom w:val="0"/>
      <w:divBdr>
        <w:top w:val="none" w:sz="0" w:space="0" w:color="auto"/>
        <w:left w:val="none" w:sz="0" w:space="0" w:color="auto"/>
        <w:bottom w:val="none" w:sz="0" w:space="0" w:color="auto"/>
        <w:right w:val="none" w:sz="0" w:space="0" w:color="auto"/>
      </w:divBdr>
    </w:div>
    <w:div w:id="308024098">
      <w:bodyDiv w:val="1"/>
      <w:marLeft w:val="0"/>
      <w:marRight w:val="0"/>
      <w:marTop w:val="0"/>
      <w:marBottom w:val="0"/>
      <w:divBdr>
        <w:top w:val="none" w:sz="0" w:space="0" w:color="auto"/>
        <w:left w:val="none" w:sz="0" w:space="0" w:color="auto"/>
        <w:bottom w:val="none" w:sz="0" w:space="0" w:color="auto"/>
        <w:right w:val="none" w:sz="0" w:space="0" w:color="auto"/>
      </w:divBdr>
    </w:div>
    <w:div w:id="904148297">
      <w:bodyDiv w:val="1"/>
      <w:marLeft w:val="0"/>
      <w:marRight w:val="0"/>
      <w:marTop w:val="0"/>
      <w:marBottom w:val="0"/>
      <w:divBdr>
        <w:top w:val="none" w:sz="0" w:space="0" w:color="auto"/>
        <w:left w:val="none" w:sz="0" w:space="0" w:color="auto"/>
        <w:bottom w:val="none" w:sz="0" w:space="0" w:color="auto"/>
        <w:right w:val="none" w:sz="0" w:space="0" w:color="auto"/>
      </w:divBdr>
    </w:div>
    <w:div w:id="925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mailto:info@mondoalternativ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yperlink" Target="http://www.mondoalternative.com"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1501</Words>
  <Characters>8560</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10041</CharactersWithSpaces>
  <SharedDoc>false</SharedDoc>
  <HLinks>
    <vt:vector size="12" baseType="variant">
      <vt:variant>
        <vt:i4>2228227</vt:i4>
      </vt:variant>
      <vt:variant>
        <vt:i4>3</vt:i4>
      </vt:variant>
      <vt:variant>
        <vt:i4>0</vt:i4>
      </vt:variant>
      <vt:variant>
        <vt:i4>5</vt:i4>
      </vt:variant>
      <vt:variant>
        <vt:lpwstr>mailto:info@mondoalternative.com</vt:lpwstr>
      </vt:variant>
      <vt:variant>
        <vt:lpwstr/>
      </vt:variant>
      <vt:variant>
        <vt:i4>4980831</vt:i4>
      </vt:variant>
      <vt:variant>
        <vt:i4>0</vt:i4>
      </vt:variant>
      <vt:variant>
        <vt:i4>0</vt:i4>
      </vt:variant>
      <vt:variant>
        <vt:i4>5</vt:i4>
      </vt:variant>
      <vt:variant>
        <vt:lpwstr>http://www.mondoalternative.com/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v_magni</dc:creator>
  <cp:keywords/>
  <dc:description/>
  <cp:lastModifiedBy>Marina Bellin</cp:lastModifiedBy>
  <cp:revision>2</cp:revision>
  <cp:lastPrinted>2014-01-24T15:15:00Z</cp:lastPrinted>
  <dcterms:created xsi:type="dcterms:W3CDTF">2014-01-30T10:35:00Z</dcterms:created>
  <dcterms:modified xsi:type="dcterms:W3CDTF">2014-01-30T10:35:00Z</dcterms:modified>
</cp:coreProperties>
</file>