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DB" w:rsidRPr="001C4FA9" w:rsidRDefault="008261DB" w:rsidP="008261DB">
      <w:pPr>
        <w:pStyle w:val="NormalWeb"/>
        <w:spacing w:after="150"/>
        <w:jc w:val="both"/>
        <w:rPr>
          <w:rFonts w:ascii="Verdana" w:eastAsia="Calibri" w:hAnsi="Verdana" w:cs="Arial"/>
          <w:b/>
          <w:bCs/>
          <w:color w:val="4472C4" w:themeColor="accent5"/>
          <w:sz w:val="20"/>
          <w:szCs w:val="20"/>
          <w:lang w:val="en-GB"/>
        </w:rPr>
      </w:pPr>
      <w:bookmarkStart w:id="0" w:name="_GoBack"/>
      <w:bookmarkEnd w:id="0"/>
    </w:p>
    <w:p w:rsidR="008261DB" w:rsidRPr="001C4FA9" w:rsidRDefault="008261DB" w:rsidP="008261DB">
      <w:pPr>
        <w:pStyle w:val="NormalWeb"/>
        <w:spacing w:after="150"/>
        <w:ind w:left="6372"/>
        <w:jc w:val="both"/>
        <w:rPr>
          <w:rFonts w:ascii="Verdana" w:eastAsia="Calibri" w:hAnsi="Verdana" w:cs="Arial"/>
          <w:b/>
          <w:bCs/>
          <w:color w:val="4472C4" w:themeColor="accent5"/>
          <w:sz w:val="20"/>
          <w:szCs w:val="20"/>
          <w:lang w:val="en-GB"/>
        </w:rPr>
      </w:pPr>
      <w:r w:rsidRPr="001C4FA9">
        <w:rPr>
          <w:rFonts w:ascii="Verdana" w:eastAsia="Calibri" w:hAnsi="Verdana"/>
          <w:sz w:val="20"/>
          <w:szCs w:val="20"/>
          <w:lang w:val="en-GB"/>
        </w:rPr>
        <w:t xml:space="preserve">    Warsaw, 25 February 2016</w:t>
      </w:r>
    </w:p>
    <w:p w:rsidR="008261DB" w:rsidRPr="001C4FA9" w:rsidRDefault="008261DB" w:rsidP="008261DB">
      <w:pPr>
        <w:pStyle w:val="NormalWeb"/>
        <w:spacing w:after="150"/>
        <w:jc w:val="both"/>
        <w:rPr>
          <w:rFonts w:ascii="Verdana" w:eastAsia="Calibri" w:hAnsi="Verdana" w:cs="Arial"/>
          <w:b/>
          <w:bCs/>
          <w:color w:val="4472C4" w:themeColor="accent5"/>
          <w:sz w:val="20"/>
          <w:szCs w:val="20"/>
          <w:lang w:val="en-GB"/>
        </w:rPr>
      </w:pPr>
    </w:p>
    <w:p w:rsidR="008261DB" w:rsidRPr="001C4FA9" w:rsidRDefault="008261DB" w:rsidP="008261DB">
      <w:pPr>
        <w:pStyle w:val="NormalWeb"/>
        <w:spacing w:after="150"/>
        <w:jc w:val="both"/>
        <w:rPr>
          <w:rFonts w:ascii="Verdana" w:eastAsia="Calibri" w:hAnsi="Verdana" w:cs="Arial"/>
          <w:b/>
          <w:bCs/>
          <w:color w:val="4472C4" w:themeColor="accent5"/>
          <w:sz w:val="20"/>
          <w:szCs w:val="20"/>
          <w:lang w:val="en-GB"/>
        </w:rPr>
      </w:pPr>
    </w:p>
    <w:p w:rsidR="008261DB" w:rsidRPr="001C4FA9" w:rsidRDefault="008261DB" w:rsidP="008261DB">
      <w:pPr>
        <w:jc w:val="center"/>
        <w:rPr>
          <w:rFonts w:ascii="Verdana" w:eastAsia="Calibri" w:hAnsi="Verdana" w:cs="Arial"/>
          <w:b/>
          <w:color w:val="4472C4" w:themeColor="accent5"/>
          <w:sz w:val="24"/>
          <w:szCs w:val="24"/>
          <w:lang w:val="en-GB"/>
        </w:rPr>
      </w:pPr>
      <w:r>
        <w:rPr>
          <w:rFonts w:ascii="Verdana" w:eastAsia="Calibri" w:hAnsi="Verdana" w:cs="Arial"/>
          <w:b/>
          <w:color w:val="4472C4" w:themeColor="accent5"/>
          <w:sz w:val="24"/>
          <w:szCs w:val="24"/>
          <w:lang w:val="en-GB"/>
        </w:rPr>
        <w:t>Presentation of Financial Results of the GPW Group</w:t>
      </w:r>
    </w:p>
    <w:p w:rsidR="008261DB" w:rsidRPr="001C4FA9" w:rsidRDefault="008261DB" w:rsidP="008261DB">
      <w:pPr>
        <w:jc w:val="center"/>
        <w:rPr>
          <w:rFonts w:ascii="Verdana" w:eastAsia="Calibri" w:hAnsi="Verdana" w:cs="Arial"/>
          <w:b/>
          <w:color w:val="5B9BD5" w:themeColor="accent1"/>
          <w:sz w:val="24"/>
          <w:szCs w:val="24"/>
          <w:lang w:val="en-GB"/>
        </w:rPr>
      </w:pPr>
      <w:r>
        <w:rPr>
          <w:rFonts w:ascii="Verdana" w:eastAsia="Calibri" w:hAnsi="Verdana" w:cs="Arial"/>
          <w:b/>
          <w:color w:val="4472C4" w:themeColor="accent5"/>
          <w:sz w:val="24"/>
          <w:szCs w:val="24"/>
          <w:lang w:val="en-GB"/>
        </w:rPr>
        <w:t>Q4</w:t>
      </w:r>
      <w:r w:rsidRPr="001C4FA9">
        <w:rPr>
          <w:rFonts w:ascii="Verdana" w:eastAsia="Calibri" w:hAnsi="Verdana" w:cs="Arial"/>
          <w:b/>
          <w:color w:val="4472C4" w:themeColor="accent5"/>
          <w:sz w:val="24"/>
          <w:szCs w:val="24"/>
          <w:lang w:val="en-GB"/>
        </w:rPr>
        <w:t xml:space="preserve"> 2015 </w:t>
      </w:r>
      <w:r>
        <w:rPr>
          <w:rFonts w:ascii="Verdana" w:eastAsia="Calibri" w:hAnsi="Verdana" w:cs="Arial"/>
          <w:b/>
          <w:color w:val="4472C4" w:themeColor="accent5"/>
          <w:sz w:val="24"/>
          <w:szCs w:val="24"/>
          <w:lang w:val="en-GB"/>
        </w:rPr>
        <w:t>and FY 2015</w:t>
      </w:r>
    </w:p>
    <w:p w:rsidR="008261DB" w:rsidRPr="001C4FA9" w:rsidRDefault="008261DB" w:rsidP="008261DB">
      <w:pPr>
        <w:pStyle w:val="NormalWeb"/>
        <w:spacing w:after="150"/>
        <w:jc w:val="both"/>
        <w:rPr>
          <w:rFonts w:ascii="Verdana" w:eastAsia="Calibri" w:hAnsi="Verdana" w:cs="Arial"/>
          <w:b/>
          <w:bCs/>
          <w:color w:val="4472C4" w:themeColor="accent5"/>
          <w:sz w:val="20"/>
          <w:szCs w:val="20"/>
          <w:lang w:val="en-GB"/>
        </w:rPr>
      </w:pPr>
    </w:p>
    <w:p w:rsidR="008261DB" w:rsidRPr="001C4FA9" w:rsidRDefault="008261DB" w:rsidP="008261DB">
      <w:pPr>
        <w:pStyle w:val="NormalWeb"/>
        <w:jc w:val="both"/>
        <w:rPr>
          <w:rFonts w:ascii="Verdana" w:eastAsia="Calibri" w:hAnsi="Verdana" w:cs="Times New Roman"/>
          <w:b/>
          <w:sz w:val="20"/>
          <w:szCs w:val="20"/>
          <w:lang w:val="en-GB" w:eastAsia="en-US"/>
        </w:rPr>
      </w:pPr>
    </w:p>
    <w:p w:rsidR="008261DB" w:rsidRPr="001C4FA9" w:rsidRDefault="008261DB" w:rsidP="008261DB">
      <w:pPr>
        <w:pStyle w:val="NormalWeb"/>
        <w:jc w:val="both"/>
        <w:rPr>
          <w:rFonts w:ascii="Verdana" w:eastAsia="Calibri" w:hAnsi="Verdana" w:cs="Times New Roman"/>
          <w:b/>
          <w:sz w:val="20"/>
          <w:szCs w:val="20"/>
          <w:lang w:val="en-GB" w:eastAsia="en-US"/>
        </w:rPr>
      </w:pPr>
      <w:r w:rsidRPr="001C4FA9">
        <w:rPr>
          <w:rFonts w:ascii="Verdana" w:eastAsia="Calibri" w:hAnsi="Verdana" w:cs="Times New Roman"/>
          <w:b/>
          <w:sz w:val="20"/>
          <w:szCs w:val="20"/>
          <w:lang w:val="en-GB" w:eastAsia="en-US"/>
        </w:rPr>
        <w:t xml:space="preserve">Net profit </w:t>
      </w:r>
    </w:p>
    <w:p w:rsidR="008261DB" w:rsidRPr="001C4FA9" w:rsidRDefault="008261DB" w:rsidP="008261DB">
      <w:pPr>
        <w:pStyle w:val="NormalWeb"/>
        <w:jc w:val="both"/>
        <w:rPr>
          <w:rFonts w:ascii="Verdana" w:eastAsia="Calibri" w:hAnsi="Verdana" w:cs="Times New Roman"/>
          <w:sz w:val="20"/>
          <w:szCs w:val="20"/>
          <w:lang w:val="en-GB" w:eastAsia="en-US"/>
        </w:rPr>
      </w:pPr>
      <w:r w:rsidRPr="001C4FA9">
        <w:rPr>
          <w:rFonts w:ascii="Verdana" w:eastAsia="Calibri" w:hAnsi="Verdana" w:cs="Times New Roman"/>
          <w:sz w:val="20"/>
          <w:szCs w:val="20"/>
          <w:lang w:val="en-GB" w:eastAsia="en-US"/>
        </w:rPr>
        <w:t xml:space="preserve">The net profit of the GPW Group was PLN 28.2 million in Q4 2015, </w:t>
      </w:r>
      <w:r>
        <w:rPr>
          <w:rFonts w:ascii="Verdana" w:eastAsia="Calibri" w:hAnsi="Verdana" w:cs="Times New Roman"/>
          <w:sz w:val="20"/>
          <w:szCs w:val="20"/>
          <w:lang w:val="en-GB" w:eastAsia="en-US"/>
        </w:rPr>
        <w:t>an increase of 16.2% year on year. The Group’s annual net profit was PLN 123.7 million in 2015, an increase of 10.2% year on year. The year-on-year increase in Q4 2015 was mainly driven by higher revenues from the financial market (+5.4%) supported by a reduction of operating expenses by PLN 5.4 million, i.e., 10.6% year on year. The annual revenues from the financial market were stable year on year in 2015, and the increase of the annual net profit was mainly driven by the growing revenues from the commodity market (+9.4%).</w:t>
      </w:r>
    </w:p>
    <w:p w:rsidR="008261DB" w:rsidRPr="001C4FA9" w:rsidRDefault="008261DB" w:rsidP="008261DB">
      <w:pPr>
        <w:pStyle w:val="NormalWeb"/>
        <w:jc w:val="both"/>
        <w:rPr>
          <w:rFonts w:ascii="Verdana" w:eastAsia="Calibri" w:hAnsi="Verdana" w:cs="Arial"/>
          <w:sz w:val="16"/>
          <w:szCs w:val="16"/>
          <w:lang w:val="en-GB"/>
        </w:rPr>
      </w:pPr>
    </w:p>
    <w:p w:rsidR="008261DB" w:rsidRPr="00B47868" w:rsidRDefault="008261DB" w:rsidP="008261DB">
      <w:pPr>
        <w:pStyle w:val="NormalWeb"/>
        <w:jc w:val="both"/>
        <w:rPr>
          <w:rFonts w:ascii="Verdana" w:eastAsia="Calibri" w:hAnsi="Verdana" w:cs="Times New Roman"/>
          <w:b/>
          <w:sz w:val="20"/>
          <w:szCs w:val="20"/>
          <w:lang w:val="en-GB" w:eastAsia="en-US"/>
        </w:rPr>
      </w:pPr>
      <w:r w:rsidRPr="00B47868">
        <w:rPr>
          <w:rFonts w:ascii="Verdana" w:eastAsia="Calibri" w:hAnsi="Verdana" w:cs="Times New Roman"/>
          <w:b/>
          <w:sz w:val="20"/>
          <w:szCs w:val="20"/>
          <w:lang w:val="en-GB" w:eastAsia="en-US"/>
        </w:rPr>
        <w:t>Revenue from the financial market</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sales revenue from the financial market was PLN </w:t>
      </w:r>
      <w:r>
        <w:rPr>
          <w:rFonts w:ascii="Verdana" w:eastAsia="Calibri" w:hAnsi="Verdana" w:cs="Times New Roman"/>
          <w:sz w:val="20"/>
          <w:szCs w:val="20"/>
          <w:lang w:val="en-GB" w:eastAsia="en-US"/>
        </w:rPr>
        <w:t>49.0 million in Q4</w:t>
      </w:r>
      <w:r w:rsidRPr="00B47868">
        <w:rPr>
          <w:rFonts w:ascii="Verdana" w:eastAsia="Calibri" w:hAnsi="Verdana" w:cs="Times New Roman"/>
          <w:sz w:val="20"/>
          <w:szCs w:val="20"/>
          <w:lang w:val="en-GB" w:eastAsia="en-US"/>
        </w:rPr>
        <w:t xml:space="preserve"> 2015, an increase </w:t>
      </w:r>
      <w:r>
        <w:rPr>
          <w:rFonts w:ascii="Verdana" w:eastAsia="Calibri" w:hAnsi="Verdana" w:cs="Times New Roman"/>
          <w:sz w:val="20"/>
          <w:szCs w:val="20"/>
          <w:lang w:val="en-GB" w:eastAsia="en-US"/>
        </w:rPr>
        <w:t xml:space="preserve">by 5.4% </w:t>
      </w:r>
      <w:r w:rsidRPr="00B47868">
        <w:rPr>
          <w:rFonts w:ascii="Verdana" w:eastAsia="Calibri" w:hAnsi="Verdana" w:cs="Times New Roman"/>
          <w:sz w:val="20"/>
          <w:szCs w:val="20"/>
          <w:lang w:val="en-GB" w:eastAsia="en-US"/>
        </w:rPr>
        <w:t xml:space="preserve">year on year </w:t>
      </w:r>
      <w:r>
        <w:rPr>
          <w:rFonts w:ascii="Verdana" w:eastAsia="Calibri" w:hAnsi="Verdana" w:cs="Times New Roman"/>
          <w:sz w:val="20"/>
          <w:szCs w:val="20"/>
          <w:lang w:val="en-GB" w:eastAsia="en-US"/>
        </w:rPr>
        <w:t xml:space="preserve">and a decrease by 4.9% </w:t>
      </w:r>
      <w:r w:rsidRPr="00B47868">
        <w:rPr>
          <w:rFonts w:ascii="Verdana" w:eastAsia="Calibri" w:hAnsi="Verdana" w:cs="Times New Roman"/>
          <w:sz w:val="20"/>
          <w:szCs w:val="20"/>
          <w:lang w:val="en-GB" w:eastAsia="en-US"/>
        </w:rPr>
        <w:t xml:space="preserve">quarter on quarter. The revenue from the financial market contributed </w:t>
      </w:r>
      <w:r>
        <w:rPr>
          <w:rFonts w:ascii="Verdana" w:eastAsia="Calibri" w:hAnsi="Verdana" w:cs="Times New Roman"/>
          <w:sz w:val="20"/>
          <w:szCs w:val="20"/>
          <w:lang w:val="en-GB" w:eastAsia="en-US"/>
        </w:rPr>
        <w:t>58.4</w:t>
      </w:r>
      <w:r w:rsidRPr="00B47868">
        <w:rPr>
          <w:rFonts w:ascii="Verdana" w:eastAsia="Calibri" w:hAnsi="Verdana" w:cs="Times New Roman"/>
          <w:sz w:val="20"/>
          <w:szCs w:val="20"/>
          <w:lang w:val="en-GB" w:eastAsia="en-US"/>
        </w:rPr>
        <w:t>% of the total sales revenue of the GPW Group, compared to 6</w:t>
      </w:r>
      <w:r>
        <w:rPr>
          <w:rFonts w:ascii="Verdana" w:eastAsia="Calibri" w:hAnsi="Verdana" w:cs="Times New Roman"/>
          <w:sz w:val="20"/>
          <w:szCs w:val="20"/>
          <w:lang w:val="en-GB" w:eastAsia="en-US"/>
        </w:rPr>
        <w:t>5.4% in Q3</w:t>
      </w:r>
      <w:r w:rsidRPr="00B47868">
        <w:rPr>
          <w:rFonts w:ascii="Verdana" w:eastAsia="Calibri" w:hAnsi="Verdana" w:cs="Times New Roman"/>
          <w:sz w:val="20"/>
          <w:szCs w:val="20"/>
          <w:lang w:val="en-GB" w:eastAsia="en-US"/>
        </w:rPr>
        <w:t xml:space="preserve"> 2015 and </w:t>
      </w:r>
      <w:r>
        <w:rPr>
          <w:rFonts w:ascii="Verdana" w:eastAsia="Calibri" w:hAnsi="Verdana" w:cs="Times New Roman"/>
          <w:sz w:val="20"/>
          <w:szCs w:val="20"/>
          <w:lang w:val="en-GB" w:eastAsia="en-US"/>
        </w:rPr>
        <w:t>55.4</w:t>
      </w:r>
      <w:r w:rsidRPr="00B47868">
        <w:rPr>
          <w:rFonts w:ascii="Verdana" w:eastAsia="Calibri" w:hAnsi="Verdana" w:cs="Times New Roman"/>
          <w:sz w:val="20"/>
          <w:szCs w:val="20"/>
          <w:lang w:val="en-GB" w:eastAsia="en-US"/>
        </w:rPr>
        <w:t>% i</w:t>
      </w:r>
      <w:r>
        <w:rPr>
          <w:rFonts w:ascii="Verdana" w:eastAsia="Calibri" w:hAnsi="Verdana" w:cs="Times New Roman"/>
          <w:sz w:val="20"/>
          <w:szCs w:val="20"/>
          <w:lang w:val="en-GB" w:eastAsia="en-US"/>
        </w:rPr>
        <w:t>n Q4</w:t>
      </w:r>
      <w:r w:rsidRPr="00B47868">
        <w:rPr>
          <w:rFonts w:ascii="Verdana" w:eastAsia="Calibri" w:hAnsi="Verdana" w:cs="Times New Roman"/>
          <w:sz w:val="20"/>
          <w:szCs w:val="20"/>
          <w:lang w:val="en-GB" w:eastAsia="en-US"/>
        </w:rPr>
        <w:t xml:space="preserve"> 2014. The </w:t>
      </w:r>
      <w:r>
        <w:rPr>
          <w:rFonts w:ascii="Verdana" w:eastAsia="Calibri" w:hAnsi="Verdana" w:cs="Times New Roman"/>
          <w:sz w:val="20"/>
          <w:szCs w:val="20"/>
          <w:lang w:val="en-GB" w:eastAsia="en-US"/>
        </w:rPr>
        <w:t xml:space="preserve">annual </w:t>
      </w:r>
      <w:r w:rsidRPr="00B47868">
        <w:rPr>
          <w:rFonts w:ascii="Verdana" w:eastAsia="Calibri" w:hAnsi="Verdana" w:cs="Times New Roman"/>
          <w:sz w:val="20"/>
          <w:szCs w:val="20"/>
          <w:lang w:val="en-GB" w:eastAsia="en-US"/>
        </w:rPr>
        <w:t xml:space="preserve">sales revenue from the financial market was PLN </w:t>
      </w:r>
      <w:r>
        <w:rPr>
          <w:rFonts w:ascii="Verdana" w:eastAsia="Calibri" w:hAnsi="Verdana" w:cs="Times New Roman"/>
          <w:sz w:val="20"/>
          <w:szCs w:val="20"/>
          <w:lang w:val="en-GB" w:eastAsia="en-US"/>
        </w:rPr>
        <w:t xml:space="preserve">200.0 million, contributing 61.0% </w:t>
      </w:r>
      <w:r w:rsidRPr="00B47868">
        <w:rPr>
          <w:rFonts w:ascii="Verdana" w:eastAsia="Calibri" w:hAnsi="Verdana" w:cs="Times New Roman"/>
          <w:sz w:val="20"/>
          <w:szCs w:val="20"/>
          <w:lang w:val="en-GB" w:eastAsia="en-US"/>
        </w:rPr>
        <w:t>of the total sales revenue of the GPW Group</w:t>
      </w:r>
      <w:r>
        <w:rPr>
          <w:rFonts w:ascii="Verdana" w:eastAsia="Calibri" w:hAnsi="Verdana" w:cs="Times New Roman"/>
          <w:sz w:val="20"/>
          <w:szCs w:val="20"/>
          <w:lang w:val="en-GB" w:eastAsia="en-US"/>
        </w:rPr>
        <w:t xml:space="preserve"> in 2015, compared to 63.0% in 2014. </w:t>
      </w:r>
      <w:r w:rsidRPr="00B47868">
        <w:rPr>
          <w:rFonts w:ascii="Verdana" w:eastAsia="Calibri" w:hAnsi="Verdana" w:cs="Times New Roman"/>
          <w:sz w:val="20"/>
          <w:szCs w:val="20"/>
          <w:lang w:val="en-GB" w:eastAsia="en-US"/>
        </w:rPr>
        <w:t>The revenue from the financial market includes trading revenue, listing revenue, and revenue from information services.</w:t>
      </w:r>
    </w:p>
    <w:p w:rsidR="008261DB" w:rsidRPr="001C4FA9" w:rsidRDefault="008261DB" w:rsidP="008261DB">
      <w:pPr>
        <w:pStyle w:val="NormalWeb"/>
        <w:jc w:val="both"/>
        <w:rPr>
          <w:rFonts w:ascii="Verdana" w:eastAsia="Calibri" w:hAnsi="Verdana" w:cs="Arial"/>
          <w:color w:val="auto"/>
          <w:sz w:val="16"/>
          <w:szCs w:val="16"/>
          <w:lang w:val="en-GB"/>
        </w:rPr>
      </w:pPr>
    </w:p>
    <w:p w:rsidR="008261DB" w:rsidRPr="00B47868" w:rsidRDefault="008261DB" w:rsidP="008261DB">
      <w:pPr>
        <w:pStyle w:val="NormalWeb"/>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t>Trading revenue on the financial market</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The trading revenue on</w:t>
      </w:r>
      <w:r>
        <w:rPr>
          <w:rFonts w:ascii="Verdana" w:eastAsia="Calibri" w:hAnsi="Verdana" w:cs="Times New Roman"/>
          <w:sz w:val="20"/>
          <w:szCs w:val="20"/>
          <w:lang w:val="en-GB" w:eastAsia="en-US"/>
        </w:rPr>
        <w:t xml:space="preserve"> the financial market was PLN 33.2 million in Q4</w:t>
      </w:r>
      <w:r w:rsidRPr="00B47868">
        <w:rPr>
          <w:rFonts w:ascii="Verdana" w:eastAsia="Calibri" w:hAnsi="Verdana" w:cs="Times New Roman"/>
          <w:sz w:val="20"/>
          <w:szCs w:val="20"/>
          <w:lang w:val="en-GB" w:eastAsia="en-US"/>
        </w:rPr>
        <w:t xml:space="preserve"> 2015, </w:t>
      </w:r>
      <w:r>
        <w:rPr>
          <w:rFonts w:ascii="Verdana" w:eastAsia="Calibri" w:hAnsi="Verdana" w:cs="Times New Roman"/>
          <w:sz w:val="20"/>
          <w:szCs w:val="20"/>
          <w:lang w:val="en-GB" w:eastAsia="en-US"/>
        </w:rPr>
        <w:t>compared to PLN 31</w:t>
      </w:r>
      <w:r w:rsidRPr="00B47868">
        <w:rPr>
          <w:rFonts w:ascii="Verdana" w:eastAsia="Calibri" w:hAnsi="Verdana" w:cs="Times New Roman"/>
          <w:sz w:val="20"/>
          <w:szCs w:val="20"/>
          <w:lang w:val="en-GB" w:eastAsia="en-US"/>
        </w:rPr>
        <w:t xml:space="preserve">.1 million in </w:t>
      </w:r>
      <w:r>
        <w:rPr>
          <w:rFonts w:ascii="Verdana" w:eastAsia="Calibri" w:hAnsi="Verdana" w:cs="Times New Roman"/>
          <w:sz w:val="20"/>
          <w:szCs w:val="20"/>
          <w:lang w:val="en-GB" w:eastAsia="en-US"/>
        </w:rPr>
        <w:t>Q4</w:t>
      </w:r>
      <w:r w:rsidRPr="00B47868">
        <w:rPr>
          <w:rFonts w:ascii="Verdana" w:eastAsia="Calibri" w:hAnsi="Verdana" w:cs="Times New Roman"/>
          <w:sz w:val="20"/>
          <w:szCs w:val="20"/>
          <w:lang w:val="en-GB" w:eastAsia="en-US"/>
        </w:rPr>
        <w:t xml:space="preserve"> 2014. The increase of the revenue by </w:t>
      </w:r>
      <w:r>
        <w:rPr>
          <w:rFonts w:ascii="Verdana" w:eastAsia="Calibri" w:hAnsi="Verdana" w:cs="Times New Roman"/>
          <w:sz w:val="20"/>
          <w:szCs w:val="20"/>
          <w:lang w:val="en-GB" w:eastAsia="en-US"/>
        </w:rPr>
        <w:t>6.7</w:t>
      </w:r>
      <w:r w:rsidRPr="00B47868">
        <w:rPr>
          <w:rFonts w:ascii="Verdana" w:eastAsia="Calibri" w:hAnsi="Verdana" w:cs="Times New Roman"/>
          <w:sz w:val="20"/>
          <w:szCs w:val="20"/>
          <w:lang w:val="en-GB" w:eastAsia="en-US"/>
        </w:rPr>
        <w:t>% YoY was driven by higher trading</w:t>
      </w:r>
      <w:r>
        <w:rPr>
          <w:rFonts w:ascii="Verdana" w:eastAsia="Calibri" w:hAnsi="Verdana" w:cs="Times New Roman"/>
          <w:sz w:val="20"/>
          <w:szCs w:val="20"/>
          <w:lang w:val="en-GB" w:eastAsia="en-US"/>
        </w:rPr>
        <w:t xml:space="preserve"> in shares</w:t>
      </w:r>
      <w:r w:rsidRPr="00B47868">
        <w:rPr>
          <w:rFonts w:ascii="Verdana" w:eastAsia="Calibri" w:hAnsi="Verdana" w:cs="Times New Roman"/>
          <w:sz w:val="20"/>
          <w:szCs w:val="20"/>
          <w:lang w:val="en-GB" w:eastAsia="en-US"/>
        </w:rPr>
        <w:t xml:space="preserve"> on the Electronic Order Book on the Main Market (+</w:t>
      </w:r>
      <w:r>
        <w:rPr>
          <w:rFonts w:ascii="Verdana" w:eastAsia="Calibri" w:hAnsi="Verdana" w:cs="Times New Roman"/>
          <w:sz w:val="20"/>
          <w:szCs w:val="20"/>
          <w:lang w:val="en-GB" w:eastAsia="en-US"/>
        </w:rPr>
        <w:t>3.8</w:t>
      </w:r>
      <w:r w:rsidRPr="00B47868">
        <w:rPr>
          <w:rFonts w:ascii="Verdana" w:eastAsia="Calibri" w:hAnsi="Verdana" w:cs="Times New Roman"/>
          <w:sz w:val="20"/>
          <w:szCs w:val="20"/>
          <w:lang w:val="en-GB" w:eastAsia="en-US"/>
        </w:rPr>
        <w:t>% YoY)</w:t>
      </w:r>
      <w:r>
        <w:rPr>
          <w:rFonts w:ascii="Verdana" w:eastAsia="Calibri" w:hAnsi="Verdana" w:cs="Times New Roman"/>
          <w:sz w:val="20"/>
          <w:szCs w:val="20"/>
          <w:lang w:val="en-GB" w:eastAsia="en-US"/>
        </w:rPr>
        <w:t xml:space="preserve">. The annual </w:t>
      </w:r>
      <w:r w:rsidRPr="00B47868">
        <w:rPr>
          <w:rFonts w:ascii="Verdana" w:eastAsia="Calibri" w:hAnsi="Verdana" w:cs="Times New Roman"/>
          <w:sz w:val="20"/>
          <w:szCs w:val="20"/>
          <w:lang w:val="en-GB" w:eastAsia="en-US"/>
        </w:rPr>
        <w:t>trading revenue on</w:t>
      </w:r>
      <w:r>
        <w:rPr>
          <w:rFonts w:ascii="Verdana" w:eastAsia="Calibri" w:hAnsi="Verdana" w:cs="Times New Roman"/>
          <w:sz w:val="20"/>
          <w:szCs w:val="20"/>
          <w:lang w:val="en-GB" w:eastAsia="en-US"/>
        </w:rPr>
        <w:t xml:space="preserve"> the financial market was PLN 136.9 million in 2015, a decrease of 0.6%</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year on year. The de</w:t>
      </w:r>
      <w:r w:rsidRPr="00B47868">
        <w:rPr>
          <w:rFonts w:ascii="Verdana" w:eastAsia="Calibri" w:hAnsi="Verdana" w:cs="Times New Roman"/>
          <w:sz w:val="20"/>
          <w:szCs w:val="20"/>
          <w:lang w:val="en-GB" w:eastAsia="en-US"/>
        </w:rPr>
        <w:t xml:space="preserve">crease in the </w:t>
      </w:r>
      <w:r>
        <w:rPr>
          <w:rFonts w:ascii="Verdana" w:eastAsia="Calibri" w:hAnsi="Verdana" w:cs="Times New Roman"/>
          <w:sz w:val="20"/>
          <w:szCs w:val="20"/>
          <w:lang w:val="en-GB" w:eastAsia="en-US"/>
        </w:rPr>
        <w:t xml:space="preserve">annual </w:t>
      </w:r>
      <w:r w:rsidRPr="00B47868">
        <w:rPr>
          <w:rFonts w:ascii="Verdana" w:eastAsia="Calibri" w:hAnsi="Verdana" w:cs="Times New Roman"/>
          <w:sz w:val="20"/>
          <w:szCs w:val="20"/>
          <w:lang w:val="en-GB" w:eastAsia="en-US"/>
        </w:rPr>
        <w:t xml:space="preserve">revenue on the financial market was </w:t>
      </w:r>
      <w:r>
        <w:rPr>
          <w:rFonts w:ascii="Verdana" w:eastAsia="Calibri" w:hAnsi="Verdana" w:cs="Times New Roman"/>
          <w:sz w:val="20"/>
          <w:szCs w:val="20"/>
          <w:lang w:val="en-GB" w:eastAsia="en-US"/>
        </w:rPr>
        <w:t>mainly</w:t>
      </w:r>
      <w:r w:rsidRPr="00B47868">
        <w:rPr>
          <w:rFonts w:ascii="Verdana" w:eastAsia="Calibri" w:hAnsi="Verdana" w:cs="Times New Roman"/>
          <w:sz w:val="20"/>
          <w:szCs w:val="20"/>
          <w:lang w:val="en-GB" w:eastAsia="en-US"/>
        </w:rPr>
        <w:t xml:space="preserve"> driven by the decrease in the </w:t>
      </w:r>
      <w:r>
        <w:rPr>
          <w:rFonts w:ascii="Verdana" w:eastAsia="Calibri" w:hAnsi="Verdana" w:cs="Times New Roman"/>
          <w:sz w:val="20"/>
          <w:szCs w:val="20"/>
          <w:lang w:val="en-GB" w:eastAsia="en-US"/>
        </w:rPr>
        <w:t>volume</w:t>
      </w:r>
      <w:r w:rsidRPr="00B47868">
        <w:rPr>
          <w:rFonts w:ascii="Verdana" w:eastAsia="Calibri" w:hAnsi="Verdana" w:cs="Times New Roman"/>
          <w:sz w:val="20"/>
          <w:szCs w:val="20"/>
          <w:lang w:val="en-GB" w:eastAsia="en-US"/>
        </w:rPr>
        <w:t xml:space="preserve"> of trade in derivatives</w:t>
      </w:r>
      <w:r>
        <w:rPr>
          <w:rFonts w:ascii="Verdana" w:eastAsia="Calibri" w:hAnsi="Verdana" w:cs="Times New Roman"/>
          <w:sz w:val="20"/>
          <w:szCs w:val="20"/>
          <w:lang w:val="en-GB" w:eastAsia="en-US"/>
        </w:rPr>
        <w:t xml:space="preserve"> (-13.5%)</w:t>
      </w:r>
      <w:r w:rsidRPr="00B47868">
        <w:rPr>
          <w:rFonts w:ascii="Verdana" w:eastAsia="Calibri" w:hAnsi="Verdana" w:cs="Times New Roman"/>
          <w:sz w:val="20"/>
          <w:szCs w:val="20"/>
          <w:lang w:val="en-GB" w:eastAsia="en-US"/>
        </w:rPr>
        <w:t>.</w:t>
      </w:r>
      <w:r>
        <w:rPr>
          <w:rFonts w:ascii="Verdana" w:eastAsia="Calibri" w:hAnsi="Verdana" w:cs="Times New Roman"/>
          <w:sz w:val="20"/>
          <w:szCs w:val="20"/>
          <w:lang w:val="en-GB" w:eastAsia="en-US"/>
        </w:rPr>
        <w:t xml:space="preserve"> While the value of trade in shares remained stable year on year in 2015, the revenue from trade in shares increased (+2.5%), mainly due to a different structure and value of transactions (a lower average transaction value as well as a lower share of large block trades and cross trades in 2015).</w:t>
      </w:r>
    </w:p>
    <w:p w:rsidR="008261DB" w:rsidRPr="001C4FA9" w:rsidRDefault="008261DB" w:rsidP="008261DB">
      <w:pPr>
        <w:pStyle w:val="NormalWeb"/>
        <w:jc w:val="both"/>
        <w:rPr>
          <w:rFonts w:ascii="Verdana" w:eastAsia="Calibri" w:hAnsi="Verdana" w:cs="Arial"/>
          <w:sz w:val="16"/>
          <w:szCs w:val="16"/>
          <w:lang w:val="en-GB"/>
        </w:rPr>
      </w:pPr>
    </w:p>
    <w:p w:rsidR="008261DB" w:rsidRPr="00B47868" w:rsidRDefault="008261DB" w:rsidP="008261DB">
      <w:pPr>
        <w:pStyle w:val="NormalWeb"/>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t>Listing revenue</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w:t>
      </w:r>
      <w:r>
        <w:rPr>
          <w:rFonts w:ascii="Verdana" w:eastAsia="Calibri" w:hAnsi="Verdana" w:cs="Times New Roman"/>
          <w:sz w:val="20"/>
          <w:szCs w:val="20"/>
          <w:lang w:val="en-GB" w:eastAsia="en-US"/>
        </w:rPr>
        <w:t xml:space="preserve">GPW </w:t>
      </w:r>
      <w:r w:rsidRPr="00B47868">
        <w:rPr>
          <w:rFonts w:ascii="Verdana" w:eastAsia="Calibri" w:hAnsi="Verdana" w:cs="Times New Roman"/>
          <w:sz w:val="20"/>
          <w:szCs w:val="20"/>
          <w:lang w:val="en-GB" w:eastAsia="en-US"/>
        </w:rPr>
        <w:t xml:space="preserve">Group’s listing revenue on the financial market was PLN </w:t>
      </w:r>
      <w:r>
        <w:rPr>
          <w:rFonts w:ascii="Verdana" w:eastAsia="Calibri" w:hAnsi="Verdana" w:cs="Times New Roman"/>
          <w:sz w:val="20"/>
          <w:szCs w:val="20"/>
          <w:lang w:val="en-GB" w:eastAsia="en-US"/>
        </w:rPr>
        <w:t>6.0 million in Q4</w:t>
      </w:r>
      <w:r w:rsidRPr="00B47868">
        <w:rPr>
          <w:rFonts w:ascii="Verdana" w:eastAsia="Calibri" w:hAnsi="Verdana" w:cs="Times New Roman"/>
          <w:sz w:val="20"/>
          <w:szCs w:val="20"/>
          <w:lang w:val="en-GB" w:eastAsia="en-US"/>
        </w:rPr>
        <w:t xml:space="preserve"> 2015, a</w:t>
      </w:r>
      <w:r>
        <w:rPr>
          <w:rFonts w:ascii="Verdana" w:eastAsia="Calibri" w:hAnsi="Verdana" w:cs="Times New Roman"/>
          <w:sz w:val="20"/>
          <w:szCs w:val="20"/>
          <w:lang w:val="en-GB" w:eastAsia="en-US"/>
        </w:rPr>
        <w:t>n</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in</w:t>
      </w:r>
      <w:r w:rsidRPr="00B47868">
        <w:rPr>
          <w:rFonts w:ascii="Verdana" w:eastAsia="Calibri" w:hAnsi="Verdana" w:cs="Times New Roman"/>
          <w:sz w:val="20"/>
          <w:szCs w:val="20"/>
          <w:lang w:val="en-GB" w:eastAsia="en-US"/>
        </w:rPr>
        <w:t xml:space="preserve">crease of </w:t>
      </w:r>
      <w:r>
        <w:rPr>
          <w:rFonts w:ascii="Verdana" w:eastAsia="Calibri" w:hAnsi="Verdana" w:cs="Times New Roman"/>
          <w:sz w:val="20"/>
          <w:szCs w:val="20"/>
          <w:lang w:val="en-GB" w:eastAsia="en-US"/>
        </w:rPr>
        <w:t>3.9</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year on year</w:t>
      </w:r>
      <w:r w:rsidRPr="00B47868">
        <w:rPr>
          <w:rFonts w:ascii="Verdana" w:eastAsia="Calibri" w:hAnsi="Verdana" w:cs="Times New Roman"/>
          <w:sz w:val="20"/>
          <w:szCs w:val="20"/>
          <w:lang w:val="en-GB" w:eastAsia="en-US"/>
        </w:rPr>
        <w:t xml:space="preserve"> and </w:t>
      </w:r>
      <w:r>
        <w:rPr>
          <w:rFonts w:ascii="Verdana" w:eastAsia="Calibri" w:hAnsi="Verdana" w:cs="Times New Roman"/>
          <w:sz w:val="20"/>
          <w:szCs w:val="20"/>
          <w:lang w:val="en-GB" w:eastAsia="en-US"/>
        </w:rPr>
        <w:t>an increase of 6.3% quarter on quarter</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 xml:space="preserve">The annual </w:t>
      </w:r>
      <w:r w:rsidRPr="00B47868">
        <w:rPr>
          <w:rFonts w:ascii="Verdana" w:eastAsia="Calibri" w:hAnsi="Verdana" w:cs="Times New Roman"/>
          <w:sz w:val="20"/>
          <w:szCs w:val="20"/>
          <w:lang w:val="en-GB" w:eastAsia="en-US"/>
        </w:rPr>
        <w:t xml:space="preserve">listing revenue </w:t>
      </w:r>
      <w:r>
        <w:rPr>
          <w:rFonts w:ascii="Verdana" w:eastAsia="Calibri" w:hAnsi="Verdana" w:cs="Times New Roman"/>
          <w:sz w:val="20"/>
          <w:szCs w:val="20"/>
          <w:lang w:val="en-GB" w:eastAsia="en-US"/>
        </w:rPr>
        <w:t>represented 7.5% of the GPW Group’s total revenue and stood at PLN 24.5 million</w:t>
      </w:r>
      <w:r w:rsidRPr="001671B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 xml:space="preserve">in 2015, compared to PLN 24.0 million in 2014 (+2.2%). </w:t>
      </w:r>
      <w:r w:rsidRPr="00B47868">
        <w:rPr>
          <w:rFonts w:ascii="Verdana" w:eastAsia="Calibri" w:hAnsi="Verdana" w:cs="Times New Roman"/>
          <w:sz w:val="20"/>
          <w:szCs w:val="20"/>
          <w:lang w:val="en-GB" w:eastAsia="en-US"/>
        </w:rPr>
        <w:t xml:space="preserve">The </w:t>
      </w:r>
      <w:r>
        <w:rPr>
          <w:rFonts w:ascii="Verdana" w:eastAsia="Calibri" w:hAnsi="Verdana" w:cs="Times New Roman"/>
          <w:sz w:val="20"/>
          <w:szCs w:val="20"/>
          <w:lang w:val="en-GB" w:eastAsia="en-US"/>
        </w:rPr>
        <w:t>in</w:t>
      </w:r>
      <w:r w:rsidRPr="00B47868">
        <w:rPr>
          <w:rFonts w:ascii="Verdana" w:eastAsia="Calibri" w:hAnsi="Verdana" w:cs="Times New Roman"/>
          <w:sz w:val="20"/>
          <w:szCs w:val="20"/>
          <w:lang w:val="en-GB" w:eastAsia="en-US"/>
        </w:rPr>
        <w:t xml:space="preserve">crease in the </w:t>
      </w:r>
      <w:r>
        <w:rPr>
          <w:rFonts w:ascii="Verdana" w:eastAsia="Calibri" w:hAnsi="Verdana" w:cs="Times New Roman"/>
          <w:sz w:val="20"/>
          <w:szCs w:val="20"/>
          <w:lang w:val="en-GB" w:eastAsia="en-US"/>
        </w:rPr>
        <w:t xml:space="preserve">listing revenue was mainly driven by a high increase in </w:t>
      </w:r>
      <w:r w:rsidRPr="00B47868">
        <w:rPr>
          <w:rFonts w:ascii="Verdana" w:eastAsia="Calibri" w:hAnsi="Verdana" w:cs="Times New Roman"/>
          <w:sz w:val="20"/>
          <w:szCs w:val="20"/>
          <w:lang w:val="en-GB" w:eastAsia="en-US"/>
        </w:rPr>
        <w:t>revenue from</w:t>
      </w:r>
      <w:r w:rsidRPr="00732CF4">
        <w:rPr>
          <w:rFonts w:ascii="Verdana" w:eastAsia="Calibri" w:hAnsi="Verdana" w:cs="Times New Roman"/>
          <w:sz w:val="20"/>
          <w:szCs w:val="20"/>
          <w:lang w:val="en-GB" w:eastAsia="en-US"/>
        </w:rPr>
        <w:t xml:space="preserve"> </w:t>
      </w:r>
      <w:r w:rsidRPr="00B47868">
        <w:rPr>
          <w:rFonts w:ascii="Verdana" w:eastAsia="Calibri" w:hAnsi="Verdana" w:cs="Times New Roman"/>
          <w:sz w:val="20"/>
          <w:szCs w:val="20"/>
          <w:lang w:val="en-GB" w:eastAsia="en-US"/>
        </w:rPr>
        <w:t>fees for introduction and admission</w:t>
      </w:r>
      <w:r>
        <w:rPr>
          <w:rFonts w:ascii="Verdana" w:eastAsia="Calibri" w:hAnsi="Verdana" w:cs="Times New Roman"/>
          <w:sz w:val="20"/>
          <w:szCs w:val="20"/>
          <w:lang w:val="en-GB" w:eastAsia="en-US"/>
        </w:rPr>
        <w:t xml:space="preserve"> due to increased IPO and SPO activity of issuers. The revenue from</w:t>
      </w:r>
      <w:r w:rsidRPr="00B47868">
        <w:rPr>
          <w:rFonts w:ascii="Verdana" w:eastAsia="Calibri" w:hAnsi="Verdana" w:cs="Times New Roman"/>
          <w:sz w:val="20"/>
          <w:szCs w:val="20"/>
          <w:lang w:val="en-GB" w:eastAsia="en-US"/>
        </w:rPr>
        <w:t xml:space="preserve"> listing fees </w:t>
      </w:r>
      <w:r>
        <w:rPr>
          <w:rFonts w:ascii="Verdana" w:eastAsia="Calibri" w:hAnsi="Verdana" w:cs="Times New Roman"/>
          <w:sz w:val="20"/>
          <w:szCs w:val="20"/>
          <w:lang w:val="en-GB" w:eastAsia="en-US"/>
        </w:rPr>
        <w:t>increased by 0.9% year on year; it should be noted that the fees in 2015 were calculated on the basis of capitalisation of companies as at the end of 2014</w:t>
      </w:r>
      <w:r w:rsidRPr="00B47868">
        <w:rPr>
          <w:rFonts w:ascii="Verdana" w:eastAsia="Calibri" w:hAnsi="Verdana" w:cs="Times New Roman"/>
          <w:sz w:val="20"/>
          <w:szCs w:val="20"/>
          <w:lang w:val="en-GB" w:eastAsia="en-US"/>
        </w:rPr>
        <w:t>.</w:t>
      </w:r>
    </w:p>
    <w:p w:rsidR="008261DB" w:rsidRDefault="008261DB" w:rsidP="008261DB">
      <w:pPr>
        <w:pStyle w:val="NormalWeb"/>
        <w:jc w:val="both"/>
        <w:rPr>
          <w:rFonts w:ascii="Verdana" w:eastAsia="Calibri" w:hAnsi="Verdana" w:cs="Arial"/>
          <w:color w:val="auto"/>
          <w:sz w:val="16"/>
          <w:szCs w:val="16"/>
          <w:lang w:val="en-GB"/>
        </w:rPr>
      </w:pPr>
    </w:p>
    <w:p w:rsidR="001838F0" w:rsidRPr="001C4FA9" w:rsidRDefault="001838F0" w:rsidP="008261DB">
      <w:pPr>
        <w:pStyle w:val="NormalWeb"/>
        <w:jc w:val="both"/>
        <w:rPr>
          <w:rFonts w:ascii="Verdana" w:eastAsia="Calibri" w:hAnsi="Verdana" w:cs="Arial"/>
          <w:color w:val="auto"/>
          <w:sz w:val="16"/>
          <w:szCs w:val="16"/>
          <w:lang w:val="en-GB"/>
        </w:rPr>
      </w:pPr>
    </w:p>
    <w:p w:rsidR="008261DB" w:rsidRPr="00B47868" w:rsidRDefault="008261DB" w:rsidP="008261DB">
      <w:pPr>
        <w:pStyle w:val="NormalWeb"/>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lastRenderedPageBreak/>
        <w:t>Information services</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revenue from </w:t>
      </w:r>
      <w:r>
        <w:rPr>
          <w:rFonts w:ascii="Verdana" w:eastAsia="Calibri" w:hAnsi="Verdana" w:cs="Times New Roman"/>
          <w:sz w:val="20"/>
          <w:szCs w:val="20"/>
          <w:lang w:val="en-GB" w:eastAsia="en-US"/>
        </w:rPr>
        <w:t>information services was PLN 9.7 million in Q4</w:t>
      </w:r>
      <w:r w:rsidRPr="00B47868">
        <w:rPr>
          <w:rFonts w:ascii="Verdana" w:eastAsia="Calibri" w:hAnsi="Verdana" w:cs="Times New Roman"/>
          <w:sz w:val="20"/>
          <w:szCs w:val="20"/>
          <w:lang w:val="en-GB" w:eastAsia="en-US"/>
        </w:rPr>
        <w:t xml:space="preserve"> 2015 </w:t>
      </w:r>
      <w:r w:rsidR="00D2394E">
        <w:rPr>
          <w:rFonts w:ascii="Verdana" w:eastAsia="Calibri" w:hAnsi="Verdana" w:cs="Times New Roman"/>
          <w:sz w:val="20"/>
          <w:szCs w:val="20"/>
          <w:lang w:val="en-GB" w:eastAsia="en-US"/>
        </w:rPr>
        <w:t>compared to</w:t>
      </w:r>
      <w:r w:rsidR="00D2394E">
        <w:rPr>
          <w:rFonts w:ascii="Verdana" w:eastAsia="Calibri" w:hAnsi="Verdana" w:cs="Times New Roman"/>
          <w:sz w:val="20"/>
          <w:szCs w:val="20"/>
          <w:lang w:val="en-GB" w:eastAsia="en-US"/>
        </w:rPr>
        <w:br/>
      </w:r>
      <w:r>
        <w:rPr>
          <w:rFonts w:ascii="Verdana" w:eastAsia="Calibri" w:hAnsi="Verdana" w:cs="Times New Roman"/>
          <w:sz w:val="20"/>
          <w:szCs w:val="20"/>
          <w:lang w:val="en-GB" w:eastAsia="en-US"/>
        </w:rPr>
        <w:t xml:space="preserve">PLN 9.5 million in Q4 2014 </w:t>
      </w:r>
      <w:r w:rsidRPr="00B47868">
        <w:rPr>
          <w:rFonts w:ascii="Verdana" w:eastAsia="Calibri" w:hAnsi="Verdana" w:cs="Times New Roman"/>
          <w:sz w:val="20"/>
          <w:szCs w:val="20"/>
          <w:lang w:val="en-GB" w:eastAsia="en-US"/>
        </w:rPr>
        <w:t>(+</w:t>
      </w:r>
      <w:r>
        <w:rPr>
          <w:rFonts w:ascii="Verdana" w:eastAsia="Calibri" w:hAnsi="Verdana" w:cs="Times New Roman"/>
          <w:sz w:val="20"/>
          <w:szCs w:val="20"/>
          <w:lang w:val="en-GB" w:eastAsia="en-US"/>
        </w:rPr>
        <w:t>2.1%</w:t>
      </w:r>
      <w:r w:rsidRPr="00B47868">
        <w:rPr>
          <w:rFonts w:ascii="Verdana" w:eastAsia="Calibri" w:hAnsi="Verdana" w:cs="Times New Roman"/>
          <w:sz w:val="20"/>
          <w:szCs w:val="20"/>
          <w:lang w:val="en-GB" w:eastAsia="en-US"/>
        </w:rPr>
        <w:t>).</w:t>
      </w:r>
      <w:r>
        <w:rPr>
          <w:rFonts w:ascii="Verdana" w:eastAsia="Calibri" w:hAnsi="Verdana" w:cs="Times New Roman"/>
          <w:sz w:val="20"/>
          <w:szCs w:val="20"/>
          <w:lang w:val="en-GB" w:eastAsia="en-US"/>
        </w:rPr>
        <w:t xml:space="preserve"> The annual </w:t>
      </w:r>
      <w:r w:rsidRPr="00B47868">
        <w:rPr>
          <w:rFonts w:ascii="Verdana" w:eastAsia="Calibri" w:hAnsi="Verdana" w:cs="Times New Roman"/>
          <w:sz w:val="20"/>
          <w:szCs w:val="20"/>
          <w:lang w:val="en-GB" w:eastAsia="en-US"/>
        </w:rPr>
        <w:t xml:space="preserve">revenue from </w:t>
      </w:r>
      <w:r>
        <w:rPr>
          <w:rFonts w:ascii="Verdana" w:eastAsia="Calibri" w:hAnsi="Verdana" w:cs="Times New Roman"/>
          <w:sz w:val="20"/>
          <w:szCs w:val="20"/>
          <w:lang w:val="en-GB" w:eastAsia="en-US"/>
        </w:rPr>
        <w:t>information services was PLN 38.5 million in 2015, which represents an increase of 0.8% year on year and a share of 11.7% in the GPW Group’s total sales revenues.</w:t>
      </w:r>
    </w:p>
    <w:p w:rsidR="008261DB" w:rsidRPr="001C4FA9" w:rsidRDefault="008261DB" w:rsidP="008261DB">
      <w:pPr>
        <w:pStyle w:val="NormalWeb"/>
        <w:jc w:val="both"/>
        <w:rPr>
          <w:rFonts w:ascii="Verdana" w:eastAsia="Calibri" w:hAnsi="Verdana" w:cs="Arial"/>
          <w:sz w:val="16"/>
          <w:szCs w:val="16"/>
          <w:lang w:val="en-GB"/>
        </w:rPr>
      </w:pPr>
    </w:p>
    <w:p w:rsidR="008261DB" w:rsidRPr="00B47868" w:rsidRDefault="008261DB" w:rsidP="008261DB">
      <w:pPr>
        <w:pStyle w:val="NormalWeb"/>
        <w:shd w:val="clear" w:color="auto" w:fill="FFFFFF"/>
        <w:jc w:val="both"/>
        <w:rPr>
          <w:rFonts w:ascii="Verdana" w:eastAsia="Calibri" w:hAnsi="Verdana" w:cs="Times New Roman"/>
          <w:b/>
          <w:sz w:val="20"/>
          <w:szCs w:val="20"/>
          <w:lang w:val="en-GB" w:eastAsia="en-US"/>
        </w:rPr>
      </w:pPr>
      <w:r w:rsidRPr="00B47868">
        <w:rPr>
          <w:rFonts w:ascii="Verdana" w:eastAsia="Calibri" w:hAnsi="Verdana" w:cs="Times New Roman"/>
          <w:b/>
          <w:sz w:val="20"/>
          <w:szCs w:val="20"/>
          <w:lang w:val="en-GB" w:eastAsia="en-US"/>
        </w:rPr>
        <w:t>Revenue from the commodity market</w:t>
      </w:r>
    </w:p>
    <w:p w:rsidR="008261DB" w:rsidRPr="00B47868" w:rsidRDefault="008261DB" w:rsidP="008261DB">
      <w:pPr>
        <w:pStyle w:val="NormalWeb"/>
        <w:shd w:val="clear" w:color="auto" w:fill="FFFFFF"/>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sales revenue on the commodity market was PLN </w:t>
      </w:r>
      <w:r>
        <w:rPr>
          <w:rFonts w:ascii="Verdana" w:eastAsia="Calibri" w:hAnsi="Verdana" w:cs="Times New Roman"/>
          <w:sz w:val="20"/>
          <w:szCs w:val="20"/>
          <w:lang w:val="en-GB" w:eastAsia="en-US"/>
        </w:rPr>
        <w:t>34.2</w:t>
      </w:r>
      <w:r w:rsidRPr="00B47868">
        <w:rPr>
          <w:rFonts w:ascii="Verdana" w:eastAsia="Calibri" w:hAnsi="Verdana" w:cs="Times New Roman"/>
          <w:sz w:val="20"/>
          <w:szCs w:val="20"/>
          <w:lang w:val="en-GB" w:eastAsia="en-US"/>
        </w:rPr>
        <w:t xml:space="preserve"> million</w:t>
      </w:r>
      <w:r>
        <w:rPr>
          <w:rFonts w:ascii="Verdana" w:eastAsia="Calibri" w:hAnsi="Verdana" w:cs="Times New Roman"/>
          <w:sz w:val="20"/>
          <w:szCs w:val="20"/>
          <w:lang w:val="en-GB" w:eastAsia="en-US"/>
        </w:rPr>
        <w:t xml:space="preserve"> in Q4 2015, a decrease of 4.2</w:t>
      </w:r>
      <w:r w:rsidRPr="00B47868">
        <w:rPr>
          <w:rFonts w:ascii="Verdana" w:eastAsia="Calibri" w:hAnsi="Verdana" w:cs="Times New Roman"/>
          <w:sz w:val="20"/>
          <w:szCs w:val="20"/>
          <w:lang w:val="en-GB" w:eastAsia="en-US"/>
        </w:rPr>
        <w:t>% year on year</w:t>
      </w:r>
      <w:r>
        <w:rPr>
          <w:rFonts w:ascii="Verdana" w:eastAsia="Calibri" w:hAnsi="Verdana" w:cs="Times New Roman"/>
          <w:sz w:val="20"/>
          <w:szCs w:val="20"/>
          <w:lang w:val="en-GB" w:eastAsia="en-US"/>
        </w:rPr>
        <w:t xml:space="preserve"> and an increase of 28.3% </w:t>
      </w:r>
      <w:r w:rsidRPr="00B47868">
        <w:rPr>
          <w:rFonts w:ascii="Verdana" w:eastAsia="Calibri" w:hAnsi="Verdana" w:cs="Times New Roman"/>
          <w:sz w:val="20"/>
          <w:szCs w:val="20"/>
          <w:lang w:val="en-GB" w:eastAsia="en-US"/>
        </w:rPr>
        <w:t>quarter on quarter.</w:t>
      </w:r>
      <w:r>
        <w:rPr>
          <w:rFonts w:ascii="Verdana" w:eastAsia="Calibri" w:hAnsi="Verdana" w:cs="Times New Roman"/>
          <w:sz w:val="20"/>
          <w:szCs w:val="20"/>
          <w:lang w:val="en-GB" w:eastAsia="en-US"/>
        </w:rPr>
        <w:t xml:space="preserve"> It contributed 40.9% to the Group’s total revenues in Q4 2015.</w:t>
      </w:r>
      <w:r w:rsidRPr="00B47868">
        <w:rPr>
          <w:rFonts w:ascii="Verdana" w:eastAsia="Calibri" w:hAnsi="Verdana" w:cs="Times New Roman"/>
          <w:sz w:val="20"/>
          <w:szCs w:val="20"/>
          <w:lang w:val="en-GB" w:eastAsia="en-US"/>
        </w:rPr>
        <w:t xml:space="preserve"> The </w:t>
      </w:r>
      <w:r>
        <w:rPr>
          <w:rFonts w:ascii="Verdana" w:eastAsia="Calibri" w:hAnsi="Verdana" w:cs="Times New Roman"/>
          <w:sz w:val="20"/>
          <w:szCs w:val="20"/>
          <w:lang w:val="en-GB" w:eastAsia="en-US"/>
        </w:rPr>
        <w:t xml:space="preserve">annual </w:t>
      </w:r>
      <w:r w:rsidRPr="00B47868">
        <w:rPr>
          <w:rFonts w:ascii="Verdana" w:eastAsia="Calibri" w:hAnsi="Verdana" w:cs="Times New Roman"/>
          <w:sz w:val="20"/>
          <w:szCs w:val="20"/>
          <w:lang w:val="en-GB" w:eastAsia="en-US"/>
        </w:rPr>
        <w:t xml:space="preserve">revenue from the commodity market </w:t>
      </w:r>
      <w:r>
        <w:rPr>
          <w:rFonts w:ascii="Verdana" w:eastAsia="Calibri" w:hAnsi="Verdana" w:cs="Times New Roman"/>
          <w:sz w:val="20"/>
          <w:szCs w:val="20"/>
          <w:lang w:val="en-GB" w:eastAsia="en-US"/>
        </w:rPr>
        <w:t>was PLN 125.2 million in 2015, representing an increase of 9.4% and a share of 38.2% of the Group’s total sales revenues</w:t>
      </w:r>
      <w:r w:rsidRPr="00B47868">
        <w:rPr>
          <w:rFonts w:ascii="Verdana" w:eastAsia="Calibri" w:hAnsi="Verdana" w:cs="Times New Roman"/>
          <w:sz w:val="20"/>
          <w:szCs w:val="20"/>
          <w:lang w:val="en-GB" w:eastAsia="en-US"/>
        </w:rPr>
        <w:t>. The revenue from the commodity market includes trading revenue, revenue from operation of the register of certificates of origin, and revenue from clearing.</w:t>
      </w:r>
    </w:p>
    <w:p w:rsidR="008261DB" w:rsidRPr="001C4FA9" w:rsidRDefault="008261DB" w:rsidP="008261DB">
      <w:pPr>
        <w:pStyle w:val="NormalWeb"/>
        <w:shd w:val="clear" w:color="auto" w:fill="FFFFFF"/>
        <w:jc w:val="both"/>
        <w:rPr>
          <w:rFonts w:ascii="Verdana" w:eastAsia="Calibri" w:hAnsi="Verdana" w:cs="Times New Roman"/>
          <w:sz w:val="20"/>
          <w:szCs w:val="20"/>
          <w:lang w:val="en-GB" w:eastAsia="en-US"/>
        </w:rPr>
      </w:pPr>
    </w:p>
    <w:p w:rsidR="008261DB" w:rsidRPr="00B47868" w:rsidRDefault="008261DB" w:rsidP="008261DB">
      <w:pPr>
        <w:pStyle w:val="NormalWeb"/>
        <w:shd w:val="clear" w:color="auto" w:fill="FFFFFF"/>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t>Trading revenue on the commodity market</w:t>
      </w:r>
    </w:p>
    <w:p w:rsidR="008261DB" w:rsidRPr="00B47868" w:rsidRDefault="008261DB" w:rsidP="008261DB">
      <w:pPr>
        <w:pStyle w:val="NormalWeb"/>
        <w:shd w:val="clear" w:color="auto" w:fill="FFFFFF"/>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trading revenue on the commodity market decreased by </w:t>
      </w:r>
      <w:r>
        <w:rPr>
          <w:rFonts w:ascii="Verdana" w:eastAsia="Calibri" w:hAnsi="Verdana" w:cs="Times New Roman"/>
          <w:sz w:val="20"/>
          <w:szCs w:val="20"/>
          <w:lang w:val="en-GB" w:eastAsia="en-US"/>
        </w:rPr>
        <w:t>5.4% year on year</w:t>
      </w:r>
      <w:r w:rsidR="00D2394E">
        <w:rPr>
          <w:rFonts w:ascii="Verdana" w:eastAsia="Calibri" w:hAnsi="Verdana" w:cs="Times New Roman"/>
          <w:sz w:val="20"/>
          <w:szCs w:val="20"/>
          <w:lang w:val="en-GB" w:eastAsia="en-US"/>
        </w:rPr>
        <w:t xml:space="preserve"> to</w:t>
      </w:r>
      <w:r w:rsidR="00D2394E">
        <w:rPr>
          <w:rFonts w:ascii="Verdana" w:eastAsia="Calibri" w:hAnsi="Verdana" w:cs="Times New Roman"/>
          <w:sz w:val="20"/>
          <w:szCs w:val="20"/>
          <w:lang w:val="en-GB" w:eastAsia="en-US"/>
        </w:rPr>
        <w:br/>
      </w:r>
      <w:r w:rsidRPr="00B47868">
        <w:rPr>
          <w:rFonts w:ascii="Verdana" w:eastAsia="Calibri" w:hAnsi="Verdana" w:cs="Times New Roman"/>
          <w:sz w:val="20"/>
          <w:szCs w:val="20"/>
          <w:lang w:val="en-GB" w:eastAsia="en-US"/>
        </w:rPr>
        <w:t>PLN 1</w:t>
      </w:r>
      <w:r>
        <w:rPr>
          <w:rFonts w:ascii="Verdana" w:eastAsia="Calibri" w:hAnsi="Verdana" w:cs="Times New Roman"/>
          <w:sz w:val="20"/>
          <w:szCs w:val="20"/>
          <w:lang w:val="en-GB" w:eastAsia="en-US"/>
        </w:rPr>
        <w:t>7.6 million in Q4</w:t>
      </w:r>
      <w:r w:rsidRPr="00B47868">
        <w:rPr>
          <w:rFonts w:ascii="Verdana" w:eastAsia="Calibri" w:hAnsi="Verdana" w:cs="Times New Roman"/>
          <w:sz w:val="20"/>
          <w:szCs w:val="20"/>
          <w:lang w:val="en-GB" w:eastAsia="en-US"/>
        </w:rPr>
        <w:t xml:space="preserve"> 2015. </w:t>
      </w:r>
      <w:r>
        <w:rPr>
          <w:rFonts w:ascii="Verdana" w:eastAsia="Calibri" w:hAnsi="Verdana" w:cs="Times New Roman"/>
          <w:sz w:val="20"/>
          <w:szCs w:val="20"/>
          <w:lang w:val="en-GB" w:eastAsia="en-US"/>
        </w:rPr>
        <w:t>The annual</w:t>
      </w:r>
      <w:r w:rsidRPr="007D7E8A">
        <w:rPr>
          <w:rFonts w:ascii="Verdana" w:eastAsia="Calibri" w:hAnsi="Verdana" w:cs="Times New Roman"/>
          <w:sz w:val="20"/>
          <w:szCs w:val="20"/>
          <w:lang w:val="en-GB" w:eastAsia="en-US"/>
        </w:rPr>
        <w:t xml:space="preserve"> </w:t>
      </w:r>
      <w:r w:rsidRPr="00B47868">
        <w:rPr>
          <w:rFonts w:ascii="Verdana" w:eastAsia="Calibri" w:hAnsi="Verdana" w:cs="Times New Roman"/>
          <w:sz w:val="20"/>
          <w:szCs w:val="20"/>
          <w:lang w:val="en-GB" w:eastAsia="en-US"/>
        </w:rPr>
        <w:t xml:space="preserve">trading revenue on the commodity market </w:t>
      </w:r>
      <w:r>
        <w:rPr>
          <w:rFonts w:ascii="Verdana" w:eastAsia="Calibri" w:hAnsi="Verdana" w:cs="Times New Roman"/>
          <w:sz w:val="20"/>
          <w:szCs w:val="20"/>
          <w:lang w:val="en-GB" w:eastAsia="en-US"/>
        </w:rPr>
        <w:t xml:space="preserve">was PLN 62.6 million in 2015, an increase of 4.0%. </w:t>
      </w:r>
      <w:r w:rsidRPr="00B47868">
        <w:rPr>
          <w:rFonts w:ascii="Verdana" w:eastAsia="Calibri" w:hAnsi="Verdana" w:cs="Times New Roman"/>
          <w:sz w:val="20"/>
          <w:szCs w:val="20"/>
          <w:lang w:val="en-GB" w:eastAsia="en-US"/>
        </w:rPr>
        <w:t xml:space="preserve">This was driven by </w:t>
      </w:r>
      <w:r>
        <w:rPr>
          <w:rFonts w:ascii="Verdana" w:eastAsia="Calibri" w:hAnsi="Verdana" w:cs="Times New Roman"/>
          <w:sz w:val="20"/>
          <w:szCs w:val="20"/>
          <w:lang w:val="en-GB" w:eastAsia="en-US"/>
        </w:rPr>
        <w:t>a strong increase (+63.6%) in the volume of trade in property rights. While the volume of trade in gas decreased year on year in 2015, the revenue from trade in gas increased by 12.5% due to a different split of volumes between forward and spot transactions (for which different trading fees are charged)</w:t>
      </w:r>
      <w:r w:rsidRPr="00B47868">
        <w:rPr>
          <w:rFonts w:ascii="Verdana" w:eastAsia="Calibri" w:hAnsi="Verdana" w:cs="Times New Roman"/>
          <w:sz w:val="20"/>
          <w:szCs w:val="20"/>
          <w:lang w:val="en-GB" w:eastAsia="en-US"/>
        </w:rPr>
        <w:t xml:space="preserve">. </w:t>
      </w:r>
    </w:p>
    <w:p w:rsidR="008261DB" w:rsidRPr="001C4FA9" w:rsidRDefault="008261DB" w:rsidP="008261DB">
      <w:pPr>
        <w:pStyle w:val="NormalWeb"/>
        <w:shd w:val="clear" w:color="auto" w:fill="FFFFFF"/>
        <w:jc w:val="both"/>
        <w:rPr>
          <w:rFonts w:ascii="Verdana" w:eastAsia="Calibri" w:hAnsi="Verdana" w:cs="Arial"/>
          <w:color w:val="auto"/>
          <w:sz w:val="16"/>
          <w:szCs w:val="16"/>
          <w:lang w:val="en-GB"/>
        </w:rPr>
      </w:pPr>
    </w:p>
    <w:p w:rsidR="008261DB" w:rsidRPr="00B47868" w:rsidRDefault="008261DB" w:rsidP="008261DB">
      <w:pPr>
        <w:pStyle w:val="NormalWeb"/>
        <w:shd w:val="clear" w:color="auto" w:fill="FFFFFF"/>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t>Operation of the Register of Certificates of Origin</w:t>
      </w:r>
    </w:p>
    <w:p w:rsidR="008261DB" w:rsidRPr="00B47868" w:rsidRDefault="008261DB" w:rsidP="008261DB">
      <w:pPr>
        <w:pStyle w:val="NormalWeb"/>
        <w:shd w:val="clear" w:color="auto" w:fill="FFFFFF"/>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revenue from the operation of the </w:t>
      </w:r>
      <w:r>
        <w:rPr>
          <w:rFonts w:ascii="Verdana" w:eastAsia="Calibri" w:hAnsi="Verdana" w:cs="Times New Roman"/>
          <w:sz w:val="20"/>
          <w:szCs w:val="20"/>
          <w:lang w:val="en-GB" w:eastAsia="en-US"/>
        </w:rPr>
        <w:t>R</w:t>
      </w:r>
      <w:r w:rsidRPr="00B47868">
        <w:rPr>
          <w:rFonts w:ascii="Verdana" w:eastAsia="Calibri" w:hAnsi="Verdana" w:cs="Times New Roman"/>
          <w:sz w:val="20"/>
          <w:szCs w:val="20"/>
          <w:lang w:val="en-GB" w:eastAsia="en-US"/>
        </w:rPr>
        <w:t>e</w:t>
      </w:r>
      <w:r>
        <w:rPr>
          <w:rFonts w:ascii="Verdana" w:eastAsia="Calibri" w:hAnsi="Verdana" w:cs="Times New Roman"/>
          <w:sz w:val="20"/>
          <w:szCs w:val="20"/>
          <w:lang w:val="en-GB" w:eastAsia="en-US"/>
        </w:rPr>
        <w:t>gister of Certificates of Origin was PLN 5.5 million in Q4</w:t>
      </w:r>
      <w:r w:rsidRPr="00B47868">
        <w:rPr>
          <w:rFonts w:ascii="Verdana" w:eastAsia="Calibri" w:hAnsi="Verdana" w:cs="Times New Roman"/>
          <w:sz w:val="20"/>
          <w:szCs w:val="20"/>
          <w:lang w:val="en-GB" w:eastAsia="en-US"/>
        </w:rPr>
        <w:t xml:space="preserve"> 2015, a</w:t>
      </w:r>
      <w:r>
        <w:rPr>
          <w:rFonts w:ascii="Verdana" w:eastAsia="Calibri" w:hAnsi="Verdana" w:cs="Times New Roman"/>
          <w:sz w:val="20"/>
          <w:szCs w:val="20"/>
          <w:lang w:val="en-GB" w:eastAsia="en-US"/>
        </w:rPr>
        <w:t xml:space="preserve"> de</w:t>
      </w:r>
      <w:r w:rsidRPr="00B47868">
        <w:rPr>
          <w:rFonts w:ascii="Verdana" w:eastAsia="Calibri" w:hAnsi="Verdana" w:cs="Times New Roman"/>
          <w:sz w:val="20"/>
          <w:szCs w:val="20"/>
          <w:lang w:val="en-GB" w:eastAsia="en-US"/>
        </w:rPr>
        <w:t xml:space="preserve">crease of </w:t>
      </w:r>
      <w:r>
        <w:rPr>
          <w:rFonts w:ascii="Verdana" w:eastAsia="Calibri" w:hAnsi="Verdana" w:cs="Times New Roman"/>
          <w:sz w:val="20"/>
          <w:szCs w:val="20"/>
          <w:lang w:val="en-GB" w:eastAsia="en-US"/>
        </w:rPr>
        <w:t>6.4</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year on year</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The annual</w:t>
      </w:r>
      <w:r w:rsidRPr="00416557">
        <w:rPr>
          <w:rFonts w:ascii="Verdana" w:eastAsia="Calibri" w:hAnsi="Verdana" w:cs="Times New Roman"/>
          <w:sz w:val="20"/>
          <w:szCs w:val="20"/>
          <w:lang w:val="en-GB" w:eastAsia="en-US"/>
        </w:rPr>
        <w:t xml:space="preserve"> </w:t>
      </w:r>
      <w:r w:rsidRPr="00B47868">
        <w:rPr>
          <w:rFonts w:ascii="Verdana" w:eastAsia="Calibri" w:hAnsi="Verdana" w:cs="Times New Roman"/>
          <w:sz w:val="20"/>
          <w:szCs w:val="20"/>
          <w:lang w:val="en-GB" w:eastAsia="en-US"/>
        </w:rPr>
        <w:t xml:space="preserve">revenue from the operation of the </w:t>
      </w:r>
      <w:r>
        <w:rPr>
          <w:rFonts w:ascii="Verdana" w:eastAsia="Calibri" w:hAnsi="Verdana" w:cs="Times New Roman"/>
          <w:sz w:val="20"/>
          <w:szCs w:val="20"/>
          <w:lang w:val="en-GB" w:eastAsia="en-US"/>
        </w:rPr>
        <w:t>R</w:t>
      </w:r>
      <w:r w:rsidRPr="00B47868">
        <w:rPr>
          <w:rFonts w:ascii="Verdana" w:eastAsia="Calibri" w:hAnsi="Verdana" w:cs="Times New Roman"/>
          <w:sz w:val="20"/>
          <w:szCs w:val="20"/>
          <w:lang w:val="en-GB" w:eastAsia="en-US"/>
        </w:rPr>
        <w:t>e</w:t>
      </w:r>
      <w:r>
        <w:rPr>
          <w:rFonts w:ascii="Verdana" w:eastAsia="Calibri" w:hAnsi="Verdana" w:cs="Times New Roman"/>
          <w:sz w:val="20"/>
          <w:szCs w:val="20"/>
          <w:lang w:val="en-GB" w:eastAsia="en-US"/>
        </w:rPr>
        <w:t xml:space="preserve">gister of Certificates of Origin was PLN 24.2 million in 2015, an increase of 7.5% year on year. </w:t>
      </w:r>
      <w:r w:rsidRPr="00B47868">
        <w:rPr>
          <w:rFonts w:ascii="Verdana" w:eastAsia="Calibri" w:hAnsi="Verdana" w:cs="Times New Roman"/>
          <w:sz w:val="20"/>
          <w:szCs w:val="20"/>
          <w:lang w:val="en-GB" w:eastAsia="en-US"/>
        </w:rPr>
        <w:t xml:space="preserve">The total volume of issued certificates of origin was </w:t>
      </w:r>
      <w:r>
        <w:rPr>
          <w:rFonts w:ascii="Verdana" w:eastAsia="Calibri" w:hAnsi="Verdana" w:cs="Times New Roman"/>
          <w:sz w:val="20"/>
          <w:szCs w:val="20"/>
          <w:lang w:val="en-GB" w:eastAsia="en-US"/>
        </w:rPr>
        <w:t>50.7</w:t>
      </w:r>
      <w:r w:rsidRPr="00B47868">
        <w:rPr>
          <w:rFonts w:ascii="Verdana" w:eastAsia="Calibri" w:hAnsi="Verdana" w:cs="Times New Roman"/>
          <w:sz w:val="20"/>
          <w:szCs w:val="20"/>
          <w:lang w:val="en-GB" w:eastAsia="en-US"/>
        </w:rPr>
        <w:t xml:space="preserve"> TWh </w:t>
      </w:r>
      <w:r>
        <w:rPr>
          <w:rFonts w:ascii="Verdana" w:eastAsia="Calibri" w:hAnsi="Verdana" w:cs="Times New Roman"/>
          <w:sz w:val="20"/>
          <w:szCs w:val="20"/>
          <w:lang w:val="en-GB" w:eastAsia="en-US"/>
        </w:rPr>
        <w:t>(+20.0%)</w:t>
      </w:r>
      <w:r w:rsidRPr="00416557">
        <w:rPr>
          <w:rFonts w:ascii="Verdana" w:eastAsia="Calibri" w:hAnsi="Verdana" w:cs="Times New Roman"/>
          <w:sz w:val="20"/>
          <w:szCs w:val="20"/>
          <w:lang w:val="en-GB" w:eastAsia="en-US"/>
        </w:rPr>
        <w:t xml:space="preserve"> </w:t>
      </w:r>
      <w:r w:rsidRPr="00B47868">
        <w:rPr>
          <w:rFonts w:ascii="Verdana" w:eastAsia="Calibri" w:hAnsi="Verdana" w:cs="Times New Roman"/>
          <w:sz w:val="20"/>
          <w:szCs w:val="20"/>
          <w:lang w:val="en-GB" w:eastAsia="en-US"/>
        </w:rPr>
        <w:t xml:space="preserve">and </w:t>
      </w:r>
      <w:r>
        <w:rPr>
          <w:rFonts w:ascii="Verdana" w:eastAsia="Calibri" w:hAnsi="Verdana" w:cs="Times New Roman"/>
          <w:sz w:val="20"/>
          <w:szCs w:val="20"/>
          <w:lang w:val="en-GB" w:eastAsia="en-US"/>
        </w:rPr>
        <w:t xml:space="preserve">the volume of </w:t>
      </w:r>
      <w:r w:rsidRPr="00B47868">
        <w:rPr>
          <w:rFonts w:ascii="Verdana" w:eastAsia="Calibri" w:hAnsi="Verdana" w:cs="Times New Roman"/>
          <w:sz w:val="20"/>
          <w:szCs w:val="20"/>
          <w:lang w:val="en-GB" w:eastAsia="en-US"/>
        </w:rPr>
        <w:t>cancelled</w:t>
      </w:r>
      <w:r>
        <w:rPr>
          <w:rFonts w:ascii="Verdana" w:eastAsia="Calibri" w:hAnsi="Verdana" w:cs="Times New Roman"/>
          <w:sz w:val="20"/>
          <w:szCs w:val="20"/>
          <w:lang w:val="en-GB" w:eastAsia="en-US"/>
        </w:rPr>
        <w:t xml:space="preserve"> certificates was 22.3 TWh (+8.5%) in 2015. The year-on-year increase in the </w:t>
      </w:r>
      <w:r w:rsidRPr="00B47868">
        <w:rPr>
          <w:rFonts w:ascii="Verdana" w:eastAsia="Calibri" w:hAnsi="Verdana" w:cs="Times New Roman"/>
          <w:sz w:val="20"/>
          <w:szCs w:val="20"/>
          <w:lang w:val="en-GB" w:eastAsia="en-US"/>
        </w:rPr>
        <w:t xml:space="preserve">revenue from </w:t>
      </w:r>
      <w:r>
        <w:rPr>
          <w:rFonts w:ascii="Verdana" w:eastAsia="Calibri" w:hAnsi="Verdana" w:cs="Times New Roman"/>
          <w:sz w:val="20"/>
          <w:szCs w:val="20"/>
          <w:lang w:val="en-GB" w:eastAsia="en-US"/>
        </w:rPr>
        <w:t>the operation of the R</w:t>
      </w:r>
      <w:r w:rsidRPr="00B47868">
        <w:rPr>
          <w:rFonts w:ascii="Verdana" w:eastAsia="Calibri" w:hAnsi="Verdana" w:cs="Times New Roman"/>
          <w:sz w:val="20"/>
          <w:szCs w:val="20"/>
          <w:lang w:val="en-GB" w:eastAsia="en-US"/>
        </w:rPr>
        <w:t>e</w:t>
      </w:r>
      <w:r>
        <w:rPr>
          <w:rFonts w:ascii="Verdana" w:eastAsia="Calibri" w:hAnsi="Verdana" w:cs="Times New Roman"/>
          <w:sz w:val="20"/>
          <w:szCs w:val="20"/>
          <w:lang w:val="en-GB" w:eastAsia="en-US"/>
        </w:rPr>
        <w:t>gister of Certificates of Origin was driven mainly by a stronger growth in the volume of cancelled and issued cogeneration certificates.</w:t>
      </w:r>
    </w:p>
    <w:p w:rsidR="008261DB" w:rsidRPr="001C4FA9" w:rsidRDefault="008261DB" w:rsidP="008261DB">
      <w:pPr>
        <w:pStyle w:val="NormalWeb"/>
        <w:shd w:val="clear" w:color="auto" w:fill="FFFFFF"/>
        <w:jc w:val="both"/>
        <w:rPr>
          <w:rFonts w:ascii="Verdana" w:eastAsia="Calibri" w:hAnsi="Verdana" w:cs="Arial"/>
          <w:color w:val="auto"/>
          <w:sz w:val="16"/>
          <w:szCs w:val="16"/>
          <w:lang w:val="en-GB"/>
        </w:rPr>
      </w:pPr>
    </w:p>
    <w:p w:rsidR="008261DB" w:rsidRPr="00B47868" w:rsidRDefault="008261DB" w:rsidP="008261DB">
      <w:pPr>
        <w:pStyle w:val="NormalWeb"/>
        <w:jc w:val="both"/>
        <w:rPr>
          <w:rFonts w:ascii="Verdana" w:eastAsia="Calibri" w:hAnsi="Verdana" w:cs="Times New Roman"/>
          <w:sz w:val="20"/>
          <w:szCs w:val="20"/>
          <w:u w:val="single"/>
          <w:lang w:val="en-GB" w:eastAsia="en-US"/>
        </w:rPr>
      </w:pPr>
      <w:r w:rsidRPr="00B47868">
        <w:rPr>
          <w:rFonts w:ascii="Verdana" w:eastAsia="Calibri" w:hAnsi="Verdana" w:cs="Times New Roman"/>
          <w:sz w:val="20"/>
          <w:szCs w:val="20"/>
          <w:u w:val="single"/>
          <w:lang w:val="en-GB" w:eastAsia="en-US"/>
        </w:rPr>
        <w:t>Clearing</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revenue from clearing was PLN </w:t>
      </w:r>
      <w:r>
        <w:rPr>
          <w:rFonts w:ascii="Verdana" w:eastAsia="Calibri" w:hAnsi="Verdana" w:cs="Times New Roman"/>
          <w:sz w:val="20"/>
          <w:szCs w:val="20"/>
          <w:lang w:val="en-GB" w:eastAsia="en-US"/>
        </w:rPr>
        <w:t>11.1 million in Q4</w:t>
      </w:r>
      <w:r w:rsidRPr="00B47868">
        <w:rPr>
          <w:rFonts w:ascii="Verdana" w:eastAsia="Calibri" w:hAnsi="Verdana" w:cs="Times New Roman"/>
          <w:sz w:val="20"/>
          <w:szCs w:val="20"/>
          <w:lang w:val="en-GB" w:eastAsia="en-US"/>
        </w:rPr>
        <w:t xml:space="preserve"> 2015, </w:t>
      </w:r>
      <w:r>
        <w:rPr>
          <w:rFonts w:ascii="Verdana" w:eastAsia="Calibri" w:hAnsi="Verdana" w:cs="Times New Roman"/>
          <w:sz w:val="20"/>
          <w:szCs w:val="20"/>
          <w:lang w:val="en-GB" w:eastAsia="en-US"/>
        </w:rPr>
        <w:t xml:space="preserve">a decrease of 0.9% year on year and an increase of 31.9% quarter on quarter. </w:t>
      </w:r>
      <w:r w:rsidRPr="00B47868">
        <w:rPr>
          <w:rFonts w:ascii="Verdana" w:eastAsia="Calibri" w:hAnsi="Verdana" w:cs="Times New Roman"/>
          <w:sz w:val="20"/>
          <w:szCs w:val="20"/>
          <w:lang w:val="en-GB" w:eastAsia="en-US"/>
        </w:rPr>
        <w:t xml:space="preserve">The </w:t>
      </w:r>
      <w:r>
        <w:rPr>
          <w:rFonts w:ascii="Verdana" w:eastAsia="Calibri" w:hAnsi="Verdana" w:cs="Times New Roman"/>
          <w:sz w:val="20"/>
          <w:szCs w:val="20"/>
          <w:lang w:val="en-GB" w:eastAsia="en-US"/>
        </w:rPr>
        <w:t xml:space="preserve">Group’s annual </w:t>
      </w:r>
      <w:r w:rsidRPr="00B47868">
        <w:rPr>
          <w:rFonts w:ascii="Verdana" w:eastAsia="Calibri" w:hAnsi="Verdana" w:cs="Times New Roman"/>
          <w:sz w:val="20"/>
          <w:szCs w:val="20"/>
          <w:lang w:val="en-GB" w:eastAsia="en-US"/>
        </w:rPr>
        <w:t>revenue from clearing</w:t>
      </w:r>
      <w:r>
        <w:rPr>
          <w:rFonts w:ascii="Verdana" w:eastAsia="Calibri" w:hAnsi="Verdana" w:cs="Times New Roman"/>
          <w:sz w:val="20"/>
          <w:szCs w:val="20"/>
          <w:lang w:val="en-GB" w:eastAsia="en-US"/>
        </w:rPr>
        <w:t xml:space="preserve"> was PLN 38.5 million in 2015, an increase of 20.8% year on year.</w:t>
      </w:r>
      <w:r w:rsidRPr="00B47868">
        <w:rPr>
          <w:rFonts w:ascii="Verdana" w:eastAsia="Calibri" w:hAnsi="Verdana" w:cs="Times New Roman"/>
          <w:sz w:val="20"/>
          <w:szCs w:val="20"/>
          <w:lang w:val="en-GB" w:eastAsia="en-US"/>
        </w:rPr>
        <w:t xml:space="preserve"> The year-on-year </w:t>
      </w:r>
      <w:r>
        <w:rPr>
          <w:rFonts w:ascii="Verdana" w:eastAsia="Calibri" w:hAnsi="Verdana" w:cs="Times New Roman"/>
          <w:sz w:val="20"/>
          <w:szCs w:val="20"/>
          <w:lang w:val="en-GB" w:eastAsia="en-US"/>
        </w:rPr>
        <w:t>increase</w:t>
      </w:r>
      <w:r w:rsidRPr="00B47868">
        <w:rPr>
          <w:rFonts w:ascii="Verdana" w:eastAsia="Calibri" w:hAnsi="Verdana" w:cs="Times New Roman"/>
          <w:sz w:val="20"/>
          <w:szCs w:val="20"/>
          <w:lang w:val="en-GB" w:eastAsia="en-US"/>
        </w:rPr>
        <w:t xml:space="preserve"> was closely re</w:t>
      </w:r>
      <w:r>
        <w:rPr>
          <w:rFonts w:ascii="Verdana" w:eastAsia="Calibri" w:hAnsi="Verdana" w:cs="Times New Roman"/>
          <w:sz w:val="20"/>
          <w:szCs w:val="20"/>
          <w:lang w:val="en-GB" w:eastAsia="en-US"/>
        </w:rPr>
        <w:t>lated to the volumes of trade on</w:t>
      </w:r>
      <w:r w:rsidRPr="00B47868">
        <w:rPr>
          <w:rFonts w:ascii="Verdana" w:eastAsia="Calibri" w:hAnsi="Verdana" w:cs="Times New Roman"/>
          <w:sz w:val="20"/>
          <w:szCs w:val="20"/>
          <w:lang w:val="en-GB" w:eastAsia="en-US"/>
        </w:rPr>
        <w:t xml:space="preserve"> the electricity and gas markets</w:t>
      </w:r>
      <w:r>
        <w:rPr>
          <w:rFonts w:ascii="Verdana" w:eastAsia="Calibri" w:hAnsi="Verdana" w:cs="Times New Roman"/>
          <w:sz w:val="20"/>
          <w:szCs w:val="20"/>
          <w:lang w:val="en-GB" w:eastAsia="en-US"/>
        </w:rPr>
        <w:t xml:space="preserve"> and the volume of trade in property rights and followed the expiration of promotional fees for clearing on</w:t>
      </w:r>
      <w:r w:rsidRPr="00B47868">
        <w:rPr>
          <w:rFonts w:ascii="Verdana" w:eastAsia="Calibri" w:hAnsi="Verdana" w:cs="Times New Roman"/>
          <w:sz w:val="20"/>
          <w:szCs w:val="20"/>
          <w:lang w:val="en-GB" w:eastAsia="en-US"/>
        </w:rPr>
        <w:t xml:space="preserve"> the gas market.</w:t>
      </w:r>
    </w:p>
    <w:p w:rsidR="008261DB" w:rsidRPr="001C4FA9" w:rsidRDefault="008261DB" w:rsidP="008261DB">
      <w:pPr>
        <w:pStyle w:val="NormalWeb"/>
        <w:jc w:val="both"/>
        <w:rPr>
          <w:rFonts w:ascii="Verdana" w:eastAsia="Calibri" w:hAnsi="Verdana" w:cs="Arial"/>
          <w:color w:val="auto"/>
          <w:sz w:val="16"/>
          <w:szCs w:val="16"/>
          <w:lang w:val="en-GB"/>
        </w:rPr>
      </w:pPr>
    </w:p>
    <w:p w:rsidR="008261DB" w:rsidRPr="00B47868" w:rsidRDefault="008261DB" w:rsidP="008261DB">
      <w:pPr>
        <w:pStyle w:val="NormalWeb"/>
        <w:jc w:val="both"/>
        <w:rPr>
          <w:rFonts w:ascii="Verdana" w:eastAsia="Calibri" w:hAnsi="Verdana" w:cs="Times New Roman"/>
          <w:b/>
          <w:sz w:val="20"/>
          <w:szCs w:val="20"/>
          <w:lang w:val="en-GB" w:eastAsia="en-US"/>
        </w:rPr>
      </w:pPr>
      <w:r w:rsidRPr="00B47868">
        <w:rPr>
          <w:rFonts w:ascii="Verdana" w:eastAsia="Calibri" w:hAnsi="Verdana" w:cs="Times New Roman"/>
          <w:b/>
          <w:sz w:val="20"/>
          <w:szCs w:val="20"/>
          <w:lang w:val="en-GB" w:eastAsia="en-US"/>
        </w:rPr>
        <w:t>Operating expenses</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Operating expenses were PLN 4</w:t>
      </w:r>
      <w:r>
        <w:rPr>
          <w:rFonts w:ascii="Verdana" w:eastAsia="Calibri" w:hAnsi="Verdana" w:cs="Times New Roman"/>
          <w:sz w:val="20"/>
          <w:szCs w:val="20"/>
          <w:lang w:val="en-GB" w:eastAsia="en-US"/>
        </w:rPr>
        <w:t>5.9 million in Q4</w:t>
      </w:r>
      <w:r w:rsidRPr="00B47868">
        <w:rPr>
          <w:rFonts w:ascii="Verdana" w:eastAsia="Calibri" w:hAnsi="Verdana" w:cs="Times New Roman"/>
          <w:sz w:val="20"/>
          <w:szCs w:val="20"/>
          <w:lang w:val="en-GB" w:eastAsia="en-US"/>
        </w:rPr>
        <w:t xml:space="preserve"> 2015, a decrease of </w:t>
      </w:r>
      <w:r>
        <w:rPr>
          <w:rFonts w:ascii="Verdana" w:eastAsia="Calibri" w:hAnsi="Verdana" w:cs="Times New Roman"/>
          <w:sz w:val="20"/>
          <w:szCs w:val="20"/>
          <w:lang w:val="en-GB" w:eastAsia="en-US"/>
        </w:rPr>
        <w:t>PLN 5.4 million (-10.6%) year on year. The annual operating expenses were PLN 174.4 million in 2015 and the strict cost regime generated cost savings of PLN 7.2 million (-4.0% YoY), mainly driven by a reduction of separate operating expenses (down by PLN 10.3 million; -7.9% YoY)</w:t>
      </w:r>
      <w:r w:rsidRPr="00B47868">
        <w:rPr>
          <w:rFonts w:ascii="Verdana" w:eastAsia="Calibri" w:hAnsi="Verdana" w:cs="Times New Roman"/>
          <w:sz w:val="20"/>
          <w:szCs w:val="20"/>
          <w:lang w:val="en-GB" w:eastAsia="en-US"/>
        </w:rPr>
        <w:t>. The cost/income ratio was 5</w:t>
      </w:r>
      <w:r>
        <w:rPr>
          <w:rFonts w:ascii="Verdana" w:eastAsia="Calibri" w:hAnsi="Verdana" w:cs="Times New Roman"/>
          <w:sz w:val="20"/>
          <w:szCs w:val="20"/>
          <w:lang w:val="en-GB" w:eastAsia="en-US"/>
        </w:rPr>
        <w:t>3.2</w:t>
      </w:r>
      <w:r w:rsidRPr="00B47868">
        <w:rPr>
          <w:rFonts w:ascii="Verdana" w:eastAsia="Calibri" w:hAnsi="Verdana" w:cs="Times New Roman"/>
          <w:sz w:val="20"/>
          <w:szCs w:val="20"/>
          <w:lang w:val="en-GB" w:eastAsia="en-US"/>
        </w:rPr>
        <w:t>%</w:t>
      </w:r>
      <w:r>
        <w:rPr>
          <w:rFonts w:ascii="Verdana" w:eastAsia="Calibri" w:hAnsi="Verdana" w:cs="Times New Roman"/>
          <w:sz w:val="20"/>
          <w:szCs w:val="20"/>
          <w:lang w:val="en-GB" w:eastAsia="en-US"/>
        </w:rPr>
        <w:t xml:space="preserve"> in 2015 (down by 4.0 percentage points YoY) in line with </w:t>
      </w:r>
      <w:r w:rsidRPr="00B47868">
        <w:rPr>
          <w:rFonts w:ascii="Verdana" w:eastAsia="Calibri" w:hAnsi="Verdana" w:cs="Times New Roman"/>
          <w:sz w:val="20"/>
          <w:szCs w:val="20"/>
          <w:lang w:val="en-GB" w:eastAsia="en-US"/>
        </w:rPr>
        <w:t>the aspiration to bring the ratio down to less than 50% in 2020. The reduction of expenses in 2015 was mainly driven by</w:t>
      </w:r>
      <w:r w:rsidR="00D2394E">
        <w:rPr>
          <w:rFonts w:ascii="Verdana" w:eastAsia="Calibri" w:hAnsi="Verdana" w:cs="Times New Roman"/>
          <w:sz w:val="20"/>
          <w:szCs w:val="20"/>
          <w:lang w:val="en-GB" w:eastAsia="en-US"/>
        </w:rPr>
        <w:br/>
      </w:r>
      <w:r>
        <w:rPr>
          <w:rFonts w:ascii="Verdana" w:eastAsia="Calibri" w:hAnsi="Verdana" w:cs="Times New Roman"/>
          <w:sz w:val="20"/>
          <w:szCs w:val="20"/>
          <w:lang w:val="en-GB" w:eastAsia="en-US"/>
        </w:rPr>
        <w:t xml:space="preserve">a decrease of </w:t>
      </w:r>
      <w:r w:rsidRPr="00B47868">
        <w:rPr>
          <w:rFonts w:ascii="Verdana" w:eastAsia="Calibri" w:hAnsi="Verdana" w:cs="Times New Roman"/>
          <w:sz w:val="20"/>
          <w:szCs w:val="20"/>
          <w:lang w:val="en-GB" w:eastAsia="en-US"/>
        </w:rPr>
        <w:t>depreciation and amortisation charges</w:t>
      </w:r>
      <w:r>
        <w:rPr>
          <w:rFonts w:ascii="Verdana" w:eastAsia="Calibri" w:hAnsi="Verdana" w:cs="Times New Roman"/>
          <w:sz w:val="20"/>
          <w:szCs w:val="20"/>
          <w:lang w:val="en-GB" w:eastAsia="en-US"/>
        </w:rPr>
        <w:t xml:space="preserve"> by PLN 1.9 million (-6.7%),</w:t>
      </w:r>
      <w:r w:rsidRPr="00B47868">
        <w:rPr>
          <w:rFonts w:ascii="Verdana" w:eastAsia="Calibri" w:hAnsi="Verdana" w:cs="Times New Roman"/>
          <w:sz w:val="20"/>
          <w:szCs w:val="20"/>
          <w:lang w:val="en-GB" w:eastAsia="en-US"/>
        </w:rPr>
        <w:t xml:space="preserve"> a decrease of salaries </w:t>
      </w:r>
      <w:r>
        <w:rPr>
          <w:rFonts w:ascii="Verdana" w:eastAsia="Calibri" w:hAnsi="Verdana" w:cs="Times New Roman"/>
          <w:sz w:val="20"/>
          <w:szCs w:val="20"/>
          <w:lang w:val="en-GB" w:eastAsia="en-US"/>
        </w:rPr>
        <w:t>by</w:t>
      </w:r>
      <w:r w:rsidRPr="00B47868">
        <w:rPr>
          <w:rFonts w:ascii="Verdana" w:eastAsia="Calibri" w:hAnsi="Verdana" w:cs="Times New Roman"/>
          <w:sz w:val="20"/>
          <w:szCs w:val="20"/>
          <w:lang w:val="en-GB" w:eastAsia="en-US"/>
        </w:rPr>
        <w:t xml:space="preserve"> PLN 1</w:t>
      </w:r>
      <w:r>
        <w:rPr>
          <w:rFonts w:ascii="Verdana" w:eastAsia="Calibri" w:hAnsi="Verdana" w:cs="Times New Roman"/>
          <w:sz w:val="20"/>
          <w:szCs w:val="20"/>
          <w:lang w:val="en-GB" w:eastAsia="en-US"/>
        </w:rPr>
        <w:t>.5</w:t>
      </w:r>
      <w:r w:rsidRPr="00B47868">
        <w:rPr>
          <w:rFonts w:ascii="Verdana" w:eastAsia="Calibri" w:hAnsi="Verdana" w:cs="Times New Roman"/>
          <w:sz w:val="20"/>
          <w:szCs w:val="20"/>
          <w:lang w:val="en-GB" w:eastAsia="en-US"/>
        </w:rPr>
        <w:t xml:space="preserve"> million (-</w:t>
      </w:r>
      <w:r>
        <w:rPr>
          <w:rFonts w:ascii="Verdana" w:eastAsia="Calibri" w:hAnsi="Verdana" w:cs="Times New Roman"/>
          <w:sz w:val="20"/>
          <w:szCs w:val="20"/>
          <w:lang w:val="en-GB" w:eastAsia="en-US"/>
        </w:rPr>
        <w:t>2.1%</w:t>
      </w:r>
      <w:r w:rsidRPr="00B47868">
        <w:rPr>
          <w:rFonts w:ascii="Verdana" w:eastAsia="Calibri" w:hAnsi="Verdana" w:cs="Times New Roman"/>
          <w:sz w:val="20"/>
          <w:szCs w:val="20"/>
          <w:lang w:val="en-GB" w:eastAsia="en-US"/>
        </w:rPr>
        <w:t xml:space="preserve">), a reduction of external service charges </w:t>
      </w:r>
      <w:r>
        <w:rPr>
          <w:rFonts w:ascii="Verdana" w:eastAsia="Calibri" w:hAnsi="Verdana" w:cs="Times New Roman"/>
          <w:sz w:val="20"/>
          <w:szCs w:val="20"/>
          <w:lang w:val="en-GB" w:eastAsia="en-US"/>
        </w:rPr>
        <w:t>by PLN 2</w:t>
      </w:r>
      <w:r w:rsidRPr="00B47868">
        <w:rPr>
          <w:rFonts w:ascii="Verdana" w:eastAsia="Calibri" w:hAnsi="Verdana" w:cs="Times New Roman"/>
          <w:sz w:val="20"/>
          <w:szCs w:val="20"/>
          <w:lang w:val="en-GB" w:eastAsia="en-US"/>
        </w:rPr>
        <w:t xml:space="preserve">.3 million </w:t>
      </w:r>
      <w:r w:rsidRPr="00B47868">
        <w:rPr>
          <w:rFonts w:ascii="Verdana" w:eastAsia="Calibri" w:hAnsi="Verdana" w:cs="Times New Roman"/>
          <w:sz w:val="20"/>
          <w:szCs w:val="20"/>
          <w:lang w:val="en-GB" w:eastAsia="en-US"/>
        </w:rPr>
        <w:lastRenderedPageBreak/>
        <w:t>(-</w:t>
      </w:r>
      <w:r>
        <w:rPr>
          <w:rFonts w:ascii="Verdana" w:eastAsia="Calibri" w:hAnsi="Verdana" w:cs="Times New Roman"/>
          <w:sz w:val="20"/>
          <w:szCs w:val="20"/>
          <w:lang w:val="en-GB" w:eastAsia="en-US"/>
        </w:rPr>
        <w:t>5.6%</w:t>
      </w:r>
      <w:r w:rsidRPr="00B47868">
        <w:rPr>
          <w:rFonts w:ascii="Verdana" w:eastAsia="Calibri" w:hAnsi="Verdana" w:cs="Times New Roman"/>
          <w:sz w:val="20"/>
          <w:szCs w:val="20"/>
          <w:lang w:val="en-GB" w:eastAsia="en-US"/>
        </w:rPr>
        <w:t>)</w:t>
      </w:r>
      <w:r>
        <w:rPr>
          <w:rFonts w:ascii="Verdana" w:eastAsia="Calibri" w:hAnsi="Verdana" w:cs="Times New Roman"/>
          <w:sz w:val="20"/>
          <w:szCs w:val="20"/>
          <w:lang w:val="en-GB" w:eastAsia="en-US"/>
        </w:rPr>
        <w:t>,</w:t>
      </w:r>
      <w:r w:rsidRPr="00B47868">
        <w:rPr>
          <w:rFonts w:ascii="Verdana" w:eastAsia="Calibri" w:hAnsi="Verdana" w:cs="Times New Roman"/>
          <w:sz w:val="20"/>
          <w:szCs w:val="20"/>
          <w:lang w:val="en-GB" w:eastAsia="en-US"/>
        </w:rPr>
        <w:t xml:space="preserve"> and a reduction of </w:t>
      </w:r>
      <w:r>
        <w:rPr>
          <w:rFonts w:ascii="Verdana" w:eastAsia="Calibri" w:hAnsi="Verdana" w:cs="Times New Roman"/>
          <w:sz w:val="20"/>
          <w:szCs w:val="20"/>
          <w:lang w:val="en-GB" w:eastAsia="en-US"/>
        </w:rPr>
        <w:t>other operating expenses by PLN 2.2 million (-25.7%</w:t>
      </w:r>
      <w:r w:rsidRPr="00B47868">
        <w:rPr>
          <w:rFonts w:ascii="Verdana" w:eastAsia="Calibri" w:hAnsi="Verdana" w:cs="Times New Roman"/>
          <w:sz w:val="20"/>
          <w:szCs w:val="20"/>
          <w:lang w:val="en-GB" w:eastAsia="en-US"/>
        </w:rPr>
        <w:t xml:space="preserve">), which offset the increase of </w:t>
      </w:r>
      <w:r>
        <w:rPr>
          <w:rFonts w:ascii="Verdana" w:eastAsia="Calibri" w:hAnsi="Verdana" w:cs="Times New Roman"/>
          <w:sz w:val="20"/>
          <w:szCs w:val="20"/>
          <w:lang w:val="en-GB" w:eastAsia="en-US"/>
        </w:rPr>
        <w:t>fees and charges</w:t>
      </w:r>
      <w:r w:rsidRPr="00B47868">
        <w:rPr>
          <w:rFonts w:ascii="Verdana" w:eastAsia="Calibri" w:hAnsi="Verdana" w:cs="Times New Roman"/>
          <w:sz w:val="20"/>
          <w:szCs w:val="20"/>
          <w:lang w:val="en-GB" w:eastAsia="en-US"/>
        </w:rPr>
        <w:t xml:space="preserve"> (+5.</w:t>
      </w:r>
      <w:r>
        <w:rPr>
          <w:rFonts w:ascii="Verdana" w:eastAsia="Calibri" w:hAnsi="Verdana" w:cs="Times New Roman"/>
          <w:sz w:val="20"/>
          <w:szCs w:val="20"/>
          <w:lang w:val="en-GB" w:eastAsia="en-US"/>
        </w:rPr>
        <w:t>5%</w:t>
      </w:r>
      <w:r w:rsidRPr="00B47868">
        <w:rPr>
          <w:rFonts w:ascii="Verdana" w:eastAsia="Calibri" w:hAnsi="Verdana" w:cs="Times New Roman"/>
          <w:sz w:val="20"/>
          <w:szCs w:val="20"/>
          <w:lang w:val="en-GB" w:eastAsia="en-US"/>
        </w:rPr>
        <w:t>).</w:t>
      </w:r>
    </w:p>
    <w:p w:rsidR="008261DB" w:rsidRPr="001C4FA9" w:rsidRDefault="008261DB" w:rsidP="008261DB">
      <w:pPr>
        <w:pStyle w:val="NormalWeb"/>
        <w:jc w:val="both"/>
        <w:rPr>
          <w:rFonts w:ascii="Verdana" w:eastAsia="Calibri" w:hAnsi="Verdana" w:cs="Times New Roman"/>
          <w:sz w:val="20"/>
          <w:szCs w:val="20"/>
          <w:lang w:val="en-GB" w:eastAsia="en-US"/>
        </w:rPr>
      </w:pPr>
    </w:p>
    <w:p w:rsidR="008261DB" w:rsidRPr="00B47868" w:rsidRDefault="008261DB" w:rsidP="008261DB">
      <w:pPr>
        <w:pStyle w:val="NormalWeb"/>
        <w:jc w:val="both"/>
        <w:rPr>
          <w:rFonts w:ascii="Verdana" w:eastAsia="Calibri" w:hAnsi="Verdana" w:cs="Times New Roman"/>
          <w:b/>
          <w:sz w:val="20"/>
          <w:szCs w:val="20"/>
          <w:lang w:val="en-GB" w:eastAsia="en-US"/>
        </w:rPr>
      </w:pPr>
      <w:r w:rsidRPr="00B47868">
        <w:rPr>
          <w:rFonts w:ascii="Verdana" w:eastAsia="Calibri" w:hAnsi="Verdana" w:cs="Times New Roman"/>
          <w:b/>
          <w:sz w:val="20"/>
          <w:szCs w:val="20"/>
          <w:lang w:val="en-GB" w:eastAsia="en-US"/>
        </w:rPr>
        <w:t>Share of profit of associates</w:t>
      </w:r>
    </w:p>
    <w:p w:rsidR="008261DB" w:rsidRPr="00B47868" w:rsidRDefault="008261DB" w:rsidP="008261DB">
      <w:pPr>
        <w:pStyle w:val="NormalWeb"/>
        <w:jc w:val="both"/>
        <w:rPr>
          <w:rFonts w:ascii="Verdana" w:eastAsia="Calibri" w:hAnsi="Verdana" w:cs="Times New Roman"/>
          <w:sz w:val="20"/>
          <w:szCs w:val="20"/>
          <w:lang w:val="en-GB" w:eastAsia="en-US"/>
        </w:rPr>
      </w:pPr>
      <w:r w:rsidRPr="00B47868">
        <w:rPr>
          <w:rFonts w:ascii="Verdana" w:eastAsia="Calibri" w:hAnsi="Verdana" w:cs="Times New Roman"/>
          <w:sz w:val="20"/>
          <w:szCs w:val="20"/>
          <w:lang w:val="en-GB" w:eastAsia="en-US"/>
        </w:rPr>
        <w:t xml:space="preserve">The GPW Group’s share of profit of associates was </w:t>
      </w:r>
      <w:r>
        <w:rPr>
          <w:rFonts w:ascii="Verdana" w:eastAsia="Calibri" w:hAnsi="Verdana" w:cs="Times New Roman"/>
          <w:sz w:val="20"/>
          <w:szCs w:val="20"/>
          <w:lang w:val="en-GB" w:eastAsia="en-US"/>
        </w:rPr>
        <w:t xml:space="preserve">positive at </w:t>
      </w:r>
      <w:r w:rsidRPr="00B47868">
        <w:rPr>
          <w:rFonts w:ascii="Verdana" w:eastAsia="Calibri" w:hAnsi="Verdana" w:cs="Times New Roman"/>
          <w:sz w:val="20"/>
          <w:szCs w:val="20"/>
          <w:lang w:val="en-GB" w:eastAsia="en-US"/>
        </w:rPr>
        <w:t xml:space="preserve">PLN </w:t>
      </w:r>
      <w:r>
        <w:rPr>
          <w:rFonts w:ascii="Verdana" w:eastAsia="Calibri" w:hAnsi="Verdana" w:cs="Times New Roman"/>
          <w:sz w:val="20"/>
          <w:szCs w:val="20"/>
          <w:lang w:val="en-GB" w:eastAsia="en-US"/>
        </w:rPr>
        <w:t>1.7</w:t>
      </w:r>
      <w:r w:rsidRPr="00B47868">
        <w:rPr>
          <w:rFonts w:ascii="Verdana" w:eastAsia="Calibri" w:hAnsi="Verdana" w:cs="Times New Roman"/>
          <w:sz w:val="20"/>
          <w:szCs w:val="20"/>
          <w:lang w:val="en-GB" w:eastAsia="en-US"/>
        </w:rPr>
        <w:t xml:space="preserve"> million </w:t>
      </w:r>
      <w:r>
        <w:rPr>
          <w:rFonts w:ascii="Verdana" w:eastAsia="Calibri" w:hAnsi="Verdana" w:cs="Times New Roman"/>
          <w:sz w:val="20"/>
          <w:szCs w:val="20"/>
          <w:lang w:val="en-GB" w:eastAsia="en-US"/>
        </w:rPr>
        <w:t>in Q4</w:t>
      </w:r>
      <w:r w:rsidRPr="00B47868">
        <w:rPr>
          <w:rFonts w:ascii="Verdana" w:eastAsia="Calibri" w:hAnsi="Verdana" w:cs="Times New Roman"/>
          <w:sz w:val="20"/>
          <w:szCs w:val="20"/>
          <w:lang w:val="en-GB" w:eastAsia="en-US"/>
        </w:rPr>
        <w:t xml:space="preserve"> 2015, compared to a </w:t>
      </w:r>
      <w:r>
        <w:rPr>
          <w:rFonts w:ascii="Verdana" w:eastAsia="Calibri" w:hAnsi="Verdana" w:cs="Times New Roman"/>
          <w:sz w:val="20"/>
          <w:szCs w:val="20"/>
          <w:lang w:val="en-GB" w:eastAsia="en-US"/>
        </w:rPr>
        <w:t>negative</w:t>
      </w:r>
      <w:r w:rsidRPr="00B47868">
        <w:rPr>
          <w:rFonts w:ascii="Verdana" w:eastAsia="Calibri" w:hAnsi="Verdana" w:cs="Times New Roman"/>
          <w:sz w:val="20"/>
          <w:szCs w:val="20"/>
          <w:lang w:val="en-GB" w:eastAsia="en-US"/>
        </w:rPr>
        <w:t xml:space="preserve"> PLN </w:t>
      </w:r>
      <w:r>
        <w:rPr>
          <w:rFonts w:ascii="Verdana" w:eastAsia="Calibri" w:hAnsi="Verdana" w:cs="Times New Roman"/>
          <w:sz w:val="20"/>
          <w:szCs w:val="20"/>
          <w:lang w:val="en-GB" w:eastAsia="en-US"/>
        </w:rPr>
        <w:t>2.2</w:t>
      </w:r>
      <w:r w:rsidRPr="00B47868">
        <w:rPr>
          <w:rFonts w:ascii="Verdana" w:eastAsia="Calibri" w:hAnsi="Verdana" w:cs="Times New Roman"/>
          <w:sz w:val="20"/>
          <w:szCs w:val="20"/>
          <w:lang w:val="en-GB" w:eastAsia="en-US"/>
        </w:rPr>
        <w:t xml:space="preserve"> million in Q</w:t>
      </w:r>
      <w:r>
        <w:rPr>
          <w:rFonts w:ascii="Verdana" w:eastAsia="Calibri" w:hAnsi="Verdana" w:cs="Times New Roman"/>
          <w:sz w:val="20"/>
          <w:szCs w:val="20"/>
          <w:lang w:val="en-GB" w:eastAsia="en-US"/>
        </w:rPr>
        <w:t>4</w:t>
      </w:r>
      <w:r w:rsidRPr="00B47868">
        <w:rPr>
          <w:rFonts w:ascii="Verdana" w:eastAsia="Calibri" w:hAnsi="Verdana" w:cs="Times New Roman"/>
          <w:sz w:val="20"/>
          <w:szCs w:val="20"/>
          <w:lang w:val="en-GB" w:eastAsia="en-US"/>
        </w:rPr>
        <w:t xml:space="preserve"> 2014. </w:t>
      </w:r>
      <w:r>
        <w:rPr>
          <w:rFonts w:ascii="Verdana" w:eastAsia="Calibri" w:hAnsi="Verdana" w:cs="Times New Roman"/>
          <w:sz w:val="20"/>
          <w:szCs w:val="20"/>
          <w:lang w:val="en-GB" w:eastAsia="en-US"/>
        </w:rPr>
        <w:t xml:space="preserve">The GPW Group’s annual </w:t>
      </w:r>
      <w:r w:rsidRPr="00B47868">
        <w:rPr>
          <w:rFonts w:ascii="Verdana" w:eastAsia="Calibri" w:hAnsi="Verdana" w:cs="Times New Roman"/>
          <w:sz w:val="20"/>
          <w:szCs w:val="20"/>
          <w:lang w:val="en-GB" w:eastAsia="en-US"/>
        </w:rPr>
        <w:t>share of profit of associates</w:t>
      </w:r>
      <w:r>
        <w:rPr>
          <w:rFonts w:ascii="Verdana" w:eastAsia="Calibri" w:hAnsi="Verdana" w:cs="Times New Roman"/>
          <w:sz w:val="20"/>
          <w:szCs w:val="20"/>
          <w:lang w:val="en-GB" w:eastAsia="en-US"/>
        </w:rPr>
        <w:t xml:space="preserve"> was negative at PLN 1.5 million in 2015.</w:t>
      </w:r>
      <w:r w:rsidRPr="00B47868">
        <w:rPr>
          <w:rFonts w:ascii="Verdana" w:eastAsia="Calibri" w:hAnsi="Verdana" w:cs="Times New Roman"/>
          <w:sz w:val="20"/>
          <w:szCs w:val="20"/>
          <w:lang w:val="en-GB" w:eastAsia="en-US"/>
        </w:rPr>
        <w:t xml:space="preserve"> The share of profit of associates was mainly driven by the earnings of the KDPW Group and Aquis Exchange. KDPW’s profit attributable to GPW was PLN </w:t>
      </w:r>
      <w:r>
        <w:rPr>
          <w:rFonts w:ascii="Verdana" w:eastAsia="Calibri" w:hAnsi="Verdana" w:cs="Times New Roman"/>
          <w:sz w:val="20"/>
          <w:szCs w:val="20"/>
          <w:lang w:val="en-GB" w:eastAsia="en-US"/>
        </w:rPr>
        <w:t>4.6</w:t>
      </w:r>
      <w:r w:rsidRPr="00B47868">
        <w:rPr>
          <w:rFonts w:ascii="Verdana" w:eastAsia="Calibri" w:hAnsi="Verdana" w:cs="Times New Roman"/>
          <w:sz w:val="20"/>
          <w:szCs w:val="20"/>
          <w:lang w:val="en-GB" w:eastAsia="en-US"/>
        </w:rPr>
        <w:t xml:space="preserve"> million in 2015, compared to PLN </w:t>
      </w:r>
      <w:r>
        <w:rPr>
          <w:rFonts w:ascii="Verdana" w:eastAsia="Calibri" w:hAnsi="Verdana" w:cs="Times New Roman"/>
          <w:sz w:val="20"/>
          <w:szCs w:val="20"/>
          <w:lang w:val="en-GB" w:eastAsia="en-US"/>
        </w:rPr>
        <w:t>10.0</w:t>
      </w:r>
      <w:r w:rsidRPr="00B47868">
        <w:rPr>
          <w:rFonts w:ascii="Verdana" w:eastAsia="Calibri" w:hAnsi="Verdana" w:cs="Times New Roman"/>
          <w:sz w:val="20"/>
          <w:szCs w:val="20"/>
          <w:lang w:val="en-GB" w:eastAsia="en-US"/>
        </w:rPr>
        <w:t xml:space="preserve"> million in </w:t>
      </w:r>
      <w:r>
        <w:rPr>
          <w:rFonts w:ascii="Verdana" w:eastAsia="Calibri" w:hAnsi="Verdana" w:cs="Times New Roman"/>
          <w:sz w:val="20"/>
          <w:szCs w:val="20"/>
          <w:lang w:val="en-GB" w:eastAsia="en-US"/>
        </w:rPr>
        <w:t>2014</w:t>
      </w:r>
      <w:r w:rsidRPr="00B47868">
        <w:rPr>
          <w:rFonts w:ascii="Verdana" w:eastAsia="Calibri" w:hAnsi="Verdana" w:cs="Times New Roman"/>
          <w:sz w:val="20"/>
          <w:szCs w:val="20"/>
          <w:lang w:val="en-GB" w:eastAsia="en-US"/>
        </w:rPr>
        <w:t xml:space="preserve">. The multilateral trading facility Aquis Exchange </w:t>
      </w:r>
      <w:r>
        <w:rPr>
          <w:rFonts w:ascii="Verdana" w:eastAsia="Calibri" w:hAnsi="Verdana" w:cs="Times New Roman"/>
          <w:sz w:val="20"/>
          <w:szCs w:val="20"/>
          <w:lang w:val="en-GB" w:eastAsia="en-US"/>
        </w:rPr>
        <w:t>generated a loss in 2015,</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including a loss</w:t>
      </w:r>
      <w:r w:rsidRPr="00B47868">
        <w:rPr>
          <w:rFonts w:ascii="Verdana" w:eastAsia="Calibri" w:hAnsi="Verdana" w:cs="Times New Roman"/>
          <w:sz w:val="20"/>
          <w:szCs w:val="20"/>
          <w:lang w:val="en-GB" w:eastAsia="en-US"/>
        </w:rPr>
        <w:t xml:space="preserve"> attributable to </w:t>
      </w:r>
      <w:r>
        <w:rPr>
          <w:rFonts w:ascii="Verdana" w:eastAsia="Calibri" w:hAnsi="Verdana" w:cs="Times New Roman"/>
          <w:sz w:val="20"/>
          <w:szCs w:val="20"/>
          <w:lang w:val="en-GB" w:eastAsia="en-US"/>
        </w:rPr>
        <w:t xml:space="preserve">the </w:t>
      </w:r>
      <w:r w:rsidRPr="00B47868">
        <w:rPr>
          <w:rFonts w:ascii="Verdana" w:eastAsia="Calibri" w:hAnsi="Verdana" w:cs="Times New Roman"/>
          <w:sz w:val="20"/>
          <w:szCs w:val="20"/>
          <w:lang w:val="en-GB" w:eastAsia="en-US"/>
        </w:rPr>
        <w:t>GPW</w:t>
      </w:r>
      <w:r>
        <w:rPr>
          <w:rFonts w:ascii="Verdana" w:eastAsia="Calibri" w:hAnsi="Verdana" w:cs="Times New Roman"/>
          <w:sz w:val="20"/>
          <w:szCs w:val="20"/>
          <w:lang w:val="en-GB" w:eastAsia="en-US"/>
        </w:rPr>
        <w:t xml:space="preserve"> Group</w:t>
      </w:r>
      <w:r w:rsidRPr="00B47868">
        <w:rPr>
          <w:rFonts w:ascii="Verdana" w:eastAsia="Calibri" w:hAnsi="Verdana" w:cs="Times New Roman"/>
          <w:sz w:val="20"/>
          <w:szCs w:val="20"/>
          <w:lang w:val="en-GB" w:eastAsia="en-US"/>
        </w:rPr>
        <w:t xml:space="preserve"> </w:t>
      </w:r>
      <w:r>
        <w:rPr>
          <w:rFonts w:ascii="Verdana" w:eastAsia="Calibri" w:hAnsi="Verdana" w:cs="Times New Roman"/>
          <w:sz w:val="20"/>
          <w:szCs w:val="20"/>
          <w:lang w:val="en-GB" w:eastAsia="en-US"/>
        </w:rPr>
        <w:t>at</w:t>
      </w:r>
      <w:r w:rsidRPr="00B47868">
        <w:rPr>
          <w:rFonts w:ascii="Verdana" w:eastAsia="Calibri" w:hAnsi="Verdana" w:cs="Times New Roman"/>
          <w:sz w:val="20"/>
          <w:szCs w:val="20"/>
          <w:lang w:val="en-GB" w:eastAsia="en-US"/>
        </w:rPr>
        <w:t xml:space="preserve"> PLN </w:t>
      </w:r>
      <w:r>
        <w:rPr>
          <w:rFonts w:ascii="Verdana" w:eastAsia="Calibri" w:hAnsi="Verdana" w:cs="Times New Roman"/>
          <w:sz w:val="20"/>
          <w:szCs w:val="20"/>
          <w:lang w:val="en-GB" w:eastAsia="en-US"/>
        </w:rPr>
        <w:t>6.5</w:t>
      </w:r>
      <w:r w:rsidRPr="00B47868">
        <w:rPr>
          <w:rFonts w:ascii="Verdana" w:eastAsia="Calibri" w:hAnsi="Verdana" w:cs="Times New Roman"/>
          <w:sz w:val="20"/>
          <w:szCs w:val="20"/>
          <w:lang w:val="en-GB" w:eastAsia="en-US"/>
        </w:rPr>
        <w:t xml:space="preserve"> million (compared to a loss of PLN </w:t>
      </w:r>
      <w:r>
        <w:rPr>
          <w:rFonts w:ascii="Verdana" w:eastAsia="Calibri" w:hAnsi="Verdana" w:cs="Times New Roman"/>
          <w:sz w:val="20"/>
          <w:szCs w:val="20"/>
          <w:lang w:val="en-GB" w:eastAsia="en-US"/>
        </w:rPr>
        <w:t>6.7</w:t>
      </w:r>
      <w:r w:rsidRPr="00B47868">
        <w:rPr>
          <w:rFonts w:ascii="Verdana" w:eastAsia="Calibri" w:hAnsi="Verdana" w:cs="Times New Roman"/>
          <w:sz w:val="20"/>
          <w:szCs w:val="20"/>
          <w:lang w:val="en-GB" w:eastAsia="en-US"/>
        </w:rPr>
        <w:t xml:space="preserve"> million in </w:t>
      </w:r>
      <w:r>
        <w:rPr>
          <w:rFonts w:ascii="Verdana" w:eastAsia="Calibri" w:hAnsi="Verdana" w:cs="Times New Roman"/>
          <w:sz w:val="20"/>
          <w:szCs w:val="20"/>
          <w:lang w:val="en-GB" w:eastAsia="en-US"/>
        </w:rPr>
        <w:t>2014</w:t>
      </w:r>
      <w:r w:rsidRPr="00B47868">
        <w:rPr>
          <w:rFonts w:ascii="Verdana" w:eastAsia="Calibri" w:hAnsi="Verdana" w:cs="Times New Roman"/>
          <w:sz w:val="20"/>
          <w:szCs w:val="20"/>
          <w:lang w:val="en-GB" w:eastAsia="en-US"/>
        </w:rPr>
        <w:t>).</w:t>
      </w:r>
    </w:p>
    <w:p w:rsidR="008261DB" w:rsidRPr="001C4FA9" w:rsidRDefault="008261DB" w:rsidP="008261DB">
      <w:pPr>
        <w:pStyle w:val="NormalWeb"/>
        <w:jc w:val="both"/>
        <w:rPr>
          <w:rFonts w:ascii="Verdana" w:eastAsia="Calibri" w:hAnsi="Verdana" w:cs="Arial"/>
          <w:sz w:val="18"/>
          <w:szCs w:val="18"/>
          <w:lang w:val="en-GB"/>
        </w:rPr>
      </w:pPr>
    </w:p>
    <w:p w:rsidR="008261DB" w:rsidRPr="001C4FA9" w:rsidRDefault="008261DB" w:rsidP="008261DB">
      <w:pPr>
        <w:spacing w:before="120" w:after="120"/>
        <w:jc w:val="both"/>
        <w:rPr>
          <w:rFonts w:ascii="Verdana" w:eastAsia="Times New Roman" w:hAnsi="Verdana" w:cs="Arial"/>
          <w:color w:val="404040" w:themeColor="text1" w:themeTint="BF"/>
          <w:sz w:val="18"/>
          <w:szCs w:val="18"/>
          <w:lang w:val="en-GB" w:eastAsia="pl-PL"/>
        </w:rPr>
      </w:pPr>
      <w:r w:rsidRPr="001C4FA9">
        <w:rPr>
          <w:rFonts w:ascii="Verdana" w:eastAsia="Times New Roman" w:hAnsi="Verdana" w:cs="Arial"/>
          <w:color w:val="404040" w:themeColor="text1" w:themeTint="BF"/>
          <w:sz w:val="18"/>
          <w:szCs w:val="18"/>
          <w:lang w:val="en-GB" w:eastAsia="pl-PL"/>
        </w:rPr>
        <w:t xml:space="preserve"> </w:t>
      </w:r>
    </w:p>
    <w:p w:rsidR="008261DB" w:rsidRPr="001C4FA9" w:rsidRDefault="008261DB" w:rsidP="008261DB">
      <w:pPr>
        <w:pStyle w:val="NormalWeb"/>
        <w:shd w:val="clear" w:color="auto" w:fill="FFFFFF"/>
        <w:spacing w:after="150" w:line="240" w:lineRule="atLeast"/>
        <w:jc w:val="center"/>
        <w:rPr>
          <w:rFonts w:ascii="Verdana" w:hAnsi="Verdana" w:cs="Arial"/>
          <w:color w:val="404040" w:themeColor="text1" w:themeTint="BF"/>
          <w:sz w:val="18"/>
          <w:szCs w:val="18"/>
          <w:lang w:val="en-GB"/>
        </w:rPr>
      </w:pPr>
      <w:r w:rsidRPr="001C4FA9">
        <w:rPr>
          <w:rFonts w:ascii="Verdana" w:hAnsi="Verdana" w:cs="Arial"/>
          <w:color w:val="404040" w:themeColor="text1" w:themeTint="BF"/>
          <w:sz w:val="18"/>
          <w:szCs w:val="18"/>
          <w:lang w:val="en-GB"/>
        </w:rPr>
        <w:t>***</w:t>
      </w:r>
    </w:p>
    <w:p w:rsidR="008261DB" w:rsidRPr="001C4FA9" w:rsidRDefault="008261DB" w:rsidP="008261DB">
      <w:pPr>
        <w:spacing w:before="120" w:after="120"/>
        <w:jc w:val="both"/>
        <w:rPr>
          <w:rFonts w:ascii="Verdana" w:eastAsia="Times New Roman" w:hAnsi="Verdana" w:cs="Arial"/>
          <w:color w:val="666666"/>
          <w:sz w:val="16"/>
          <w:szCs w:val="16"/>
          <w:lang w:val="en-GB" w:eastAsia="pl-PL"/>
        </w:rPr>
      </w:pPr>
      <w:r w:rsidRPr="001C4FA9">
        <w:rPr>
          <w:rFonts w:ascii="Verdana" w:eastAsia="Times New Roman" w:hAnsi="Verdana" w:cs="Arial"/>
          <w:b/>
          <w:color w:val="666666"/>
          <w:sz w:val="16"/>
          <w:szCs w:val="16"/>
          <w:lang w:val="en-GB" w:eastAsia="pl-PL"/>
        </w:rPr>
        <w:t>Warsaw Stock Exchange (GPW)</w:t>
      </w:r>
      <w:r w:rsidRPr="001C4FA9">
        <w:rPr>
          <w:rFonts w:ascii="Verdana" w:eastAsia="Times New Roman" w:hAnsi="Verdana" w:cs="Arial"/>
          <w:color w:val="666666"/>
          <w:sz w:val="16"/>
          <w:szCs w:val="16"/>
          <w:lang w:val="en-GB" w:eastAsia="pl-PL"/>
        </w:rPr>
        <w:t xml:space="preserve"> is the biggest securities exchange in Central and Eastern Europe. GPW operates a regulated market of shares and derivative instruments and the alternative stock market NewConnect for growing companies. GPW is developing Catalyst, a market for issuers of corporate and municipal bonds, as well as commodity markets. Since 9 December 2010, GPW is a public company listed on Warsaw Stock Exchange. For more information visit http://www.gpw.pl</w:t>
      </w:r>
    </w:p>
    <w:p w:rsidR="008261DB" w:rsidRPr="001C4FA9" w:rsidRDefault="008261DB" w:rsidP="008261DB">
      <w:pPr>
        <w:rPr>
          <w:lang w:val="en-GB"/>
        </w:rPr>
      </w:pPr>
    </w:p>
    <w:p w:rsidR="000224FB" w:rsidRDefault="009E08FA"/>
    <w:sectPr w:rsidR="000224FB" w:rsidSect="001B3D55">
      <w:foot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FA" w:rsidRDefault="009E08FA">
      <w:r>
        <w:separator/>
      </w:r>
    </w:p>
  </w:endnote>
  <w:endnote w:type="continuationSeparator" w:id="0">
    <w:p w:rsidR="009E08FA" w:rsidRDefault="009E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15" w:rsidRDefault="009E08FA" w:rsidP="006B4C15">
    <w:pPr>
      <w:pStyle w:val="Footer"/>
      <w:rPr>
        <w:rFonts w:ascii="Arial" w:hAnsi="Arial" w:cs="Arial"/>
        <w:b/>
        <w:color w:val="595959" w:themeColor="text1" w:themeTint="A6"/>
        <w:sz w:val="16"/>
        <w:szCs w:val="16"/>
      </w:rPr>
    </w:pPr>
  </w:p>
  <w:p w:rsidR="00EF7FD4" w:rsidRPr="00AF303E" w:rsidRDefault="009213CA" w:rsidP="00EF7FD4">
    <w:pPr>
      <w:pStyle w:val="Footer"/>
      <w:rPr>
        <w:b/>
        <w:color w:val="595959" w:themeColor="text1" w:themeTint="A6"/>
      </w:rPr>
    </w:pPr>
    <w:r w:rsidRPr="00AF303E">
      <w:rPr>
        <w:rFonts w:ascii="Verdana" w:hAnsi="Verdana" w:cs="Arial"/>
        <w:b/>
        <w:color w:val="595959" w:themeColor="text1" w:themeTint="A6"/>
        <w:sz w:val="18"/>
        <w:szCs w:val="18"/>
      </w:rPr>
      <w:t xml:space="preserve">Zespół Komunikacji GPW: +48 22 537 7471, </w:t>
    </w:r>
    <w:hyperlink r:id="rId1" w:history="1">
      <w:r w:rsidRPr="00AF303E">
        <w:rPr>
          <w:b/>
          <w:color w:val="595959" w:themeColor="text1" w:themeTint="A6"/>
        </w:rPr>
        <w:t>press@gpw.pl</w:t>
      </w:r>
    </w:hyperlink>
  </w:p>
  <w:p w:rsidR="00EF7FD4" w:rsidRPr="00AF303E" w:rsidRDefault="009E08FA" w:rsidP="00EF7FD4">
    <w:pPr>
      <w:pStyle w:val="Footer"/>
      <w:rPr>
        <w:color w:val="595959" w:themeColor="text1" w:themeTint="A6"/>
      </w:rPr>
    </w:pPr>
  </w:p>
  <w:p w:rsidR="005B4B43" w:rsidRPr="00AF303E" w:rsidRDefault="009213CA" w:rsidP="005B4B43">
    <w:pPr>
      <w:pStyle w:val="Footer"/>
      <w:rPr>
        <w:rFonts w:ascii="Verdana" w:hAnsi="Verdana" w:cs="Arial"/>
        <w:color w:val="595959" w:themeColor="text1" w:themeTint="A6"/>
        <w:sz w:val="18"/>
        <w:szCs w:val="18"/>
      </w:rPr>
    </w:pPr>
    <w:r w:rsidRPr="00AF303E">
      <w:rPr>
        <w:rFonts w:ascii="Verdana" w:hAnsi="Verdana" w:cs="Arial"/>
        <w:color w:val="595959" w:themeColor="text1" w:themeTint="A6"/>
        <w:sz w:val="18"/>
        <w:szCs w:val="18"/>
      </w:rPr>
      <w:t xml:space="preserve">Agata Nałęcz:+48 22 537 77 18, +48 665 550 314, </w:t>
    </w:r>
    <w:hyperlink r:id="rId2" w:history="1">
      <w:r w:rsidRPr="00AF303E">
        <w:rPr>
          <w:color w:val="595959" w:themeColor="text1" w:themeTint="A6"/>
        </w:rPr>
        <w:t>agata.nalecz@gpw.pl</w:t>
      </w:r>
    </w:hyperlink>
  </w:p>
  <w:p w:rsidR="00EF7FD4" w:rsidRPr="00AF303E" w:rsidRDefault="009213CA" w:rsidP="00EF7FD4">
    <w:pPr>
      <w:pStyle w:val="Footer"/>
      <w:rPr>
        <w:rFonts w:ascii="Verdana" w:hAnsi="Verdana" w:cs="Arial"/>
        <w:color w:val="595959" w:themeColor="text1" w:themeTint="A6"/>
        <w:sz w:val="18"/>
        <w:szCs w:val="18"/>
      </w:rPr>
    </w:pPr>
    <w:r w:rsidRPr="00AF303E">
      <w:rPr>
        <w:rFonts w:ascii="Verdana" w:hAnsi="Verdana" w:cs="Arial"/>
        <w:color w:val="595959" w:themeColor="text1" w:themeTint="A6"/>
        <w:sz w:val="18"/>
        <w:szCs w:val="18"/>
      </w:rPr>
      <w:t xml:space="preserve">Justyna Rachańska: +48 22 537 7089, +48 605 470 865, </w:t>
    </w:r>
    <w:hyperlink r:id="rId3" w:history="1">
      <w:r w:rsidRPr="00AF303E">
        <w:rPr>
          <w:color w:val="595959" w:themeColor="text1" w:themeTint="A6"/>
        </w:rPr>
        <w:t>justyna.rachanska@gpw.pl</w:t>
      </w:r>
    </w:hyperlink>
  </w:p>
  <w:p w:rsidR="006B4C15" w:rsidRPr="006E6E69" w:rsidRDefault="009E08FA" w:rsidP="00EF7FD4">
    <w:pPr>
      <w:pStyle w:val="Footer"/>
      <w:rPr>
        <w:rFonts w:ascii="Arial" w:hAnsi="Arial" w:cs="Arial"/>
        <w:color w:val="FF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15" w:rsidRPr="00EF7FD4" w:rsidRDefault="009213CA" w:rsidP="009D4A76">
    <w:pPr>
      <w:pStyle w:val="Footer"/>
      <w:rPr>
        <w:rFonts w:ascii="Verdana" w:hAnsi="Verdana" w:cs="Arial"/>
        <w:b/>
        <w:color w:val="595959" w:themeColor="text1" w:themeTint="A6"/>
        <w:sz w:val="18"/>
        <w:szCs w:val="18"/>
      </w:rPr>
    </w:pPr>
    <w:r>
      <w:rPr>
        <w:rFonts w:ascii="Verdana" w:hAnsi="Verdana" w:cs="Arial"/>
        <w:b/>
        <w:color w:val="595959" w:themeColor="text1" w:themeTint="A6"/>
        <w:sz w:val="18"/>
        <w:szCs w:val="18"/>
      </w:rPr>
      <w:t xml:space="preserve"> </w:t>
    </w:r>
  </w:p>
  <w:p w:rsidR="003D393B" w:rsidRPr="00EF7FD4" w:rsidRDefault="009213CA" w:rsidP="009D4A76">
    <w:pPr>
      <w:pStyle w:val="Footer"/>
      <w:rPr>
        <w:rStyle w:val="Hyperlink"/>
        <w:rFonts w:ascii="Verdana" w:hAnsi="Verdana" w:cs="Arial"/>
        <w:b/>
        <w:color w:val="595959" w:themeColor="text1" w:themeTint="A6"/>
        <w:sz w:val="18"/>
        <w:szCs w:val="18"/>
      </w:rPr>
    </w:pPr>
    <w:r w:rsidRPr="00EF7FD4">
      <w:rPr>
        <w:rFonts w:ascii="Verdana" w:hAnsi="Verdana" w:cs="Arial"/>
        <w:b/>
        <w:color w:val="595959" w:themeColor="text1" w:themeTint="A6"/>
        <w:sz w:val="18"/>
        <w:szCs w:val="18"/>
      </w:rPr>
      <w:t>Zespół Komunikacji GPW: +48 22 537 74</w:t>
    </w:r>
    <w:r>
      <w:rPr>
        <w:rFonts w:ascii="Verdana" w:hAnsi="Verdana" w:cs="Arial"/>
        <w:b/>
        <w:color w:val="595959" w:themeColor="text1" w:themeTint="A6"/>
        <w:sz w:val="18"/>
        <w:szCs w:val="18"/>
      </w:rPr>
      <w:t xml:space="preserve"> </w:t>
    </w:r>
    <w:r w:rsidRPr="00EF7FD4">
      <w:rPr>
        <w:rFonts w:ascii="Verdana" w:hAnsi="Verdana" w:cs="Arial"/>
        <w:b/>
        <w:color w:val="595959" w:themeColor="text1" w:themeTint="A6"/>
        <w:sz w:val="18"/>
        <w:szCs w:val="18"/>
      </w:rPr>
      <w:t xml:space="preserve">71, </w:t>
    </w:r>
    <w:hyperlink r:id="rId1" w:history="1">
      <w:r w:rsidRPr="00EF7FD4">
        <w:rPr>
          <w:rStyle w:val="Hyperlink"/>
          <w:rFonts w:ascii="Verdana" w:hAnsi="Verdana" w:cs="Arial"/>
          <w:b/>
          <w:color w:val="595959" w:themeColor="text1" w:themeTint="A6"/>
          <w:sz w:val="18"/>
          <w:szCs w:val="18"/>
        </w:rPr>
        <w:t>press@gpw.pl</w:t>
      </w:r>
    </w:hyperlink>
  </w:p>
  <w:p w:rsidR="00CF5631" w:rsidRPr="00EF7FD4" w:rsidRDefault="009E08FA" w:rsidP="009D4A76">
    <w:pPr>
      <w:pStyle w:val="Footer"/>
      <w:rPr>
        <w:rStyle w:val="Hyperlink"/>
        <w:rFonts w:ascii="Verdana" w:hAnsi="Verdana" w:cs="Arial"/>
        <w:b/>
        <w:color w:val="595959" w:themeColor="text1" w:themeTint="A6"/>
        <w:sz w:val="18"/>
        <w:szCs w:val="18"/>
      </w:rPr>
    </w:pPr>
  </w:p>
  <w:p w:rsidR="003D393B" w:rsidRPr="00EF7FD4" w:rsidRDefault="009213CA" w:rsidP="009D4A76">
    <w:pPr>
      <w:pStyle w:val="Footer"/>
      <w:rPr>
        <w:rFonts w:ascii="Verdana" w:hAnsi="Verdana" w:cs="Arial"/>
        <w:color w:val="595959" w:themeColor="text1" w:themeTint="A6"/>
        <w:sz w:val="18"/>
        <w:szCs w:val="18"/>
        <w:u w:val="single"/>
      </w:rPr>
    </w:pPr>
    <w:r>
      <w:rPr>
        <w:rFonts w:ascii="Verdana" w:hAnsi="Verdana" w:cs="Arial"/>
        <w:color w:val="595959" w:themeColor="text1" w:themeTint="A6"/>
        <w:sz w:val="18"/>
        <w:szCs w:val="18"/>
      </w:rPr>
      <w:t>Agata Nałęcz</w:t>
    </w:r>
    <w:r w:rsidRPr="00EF7FD4">
      <w:rPr>
        <w:rFonts w:ascii="Verdana" w:hAnsi="Verdana" w:cs="Arial"/>
        <w:color w:val="595959" w:themeColor="text1" w:themeTint="A6"/>
        <w:sz w:val="18"/>
        <w:szCs w:val="18"/>
      </w:rPr>
      <w:t>:+48 22 537 77</w:t>
    </w:r>
    <w:r>
      <w:rPr>
        <w:rFonts w:ascii="Verdana" w:hAnsi="Verdana" w:cs="Arial"/>
        <w:color w:val="595959" w:themeColor="text1" w:themeTint="A6"/>
        <w:sz w:val="18"/>
        <w:szCs w:val="18"/>
      </w:rPr>
      <w:t xml:space="preserve"> 18, +48 665 550 314</w:t>
    </w:r>
    <w:r w:rsidRPr="00EF7FD4">
      <w:rPr>
        <w:rFonts w:ascii="Verdana" w:hAnsi="Verdana" w:cs="Arial"/>
        <w:color w:val="595959" w:themeColor="text1" w:themeTint="A6"/>
        <w:sz w:val="18"/>
        <w:szCs w:val="18"/>
      </w:rPr>
      <w:t xml:space="preserve">, </w:t>
    </w:r>
    <w:hyperlink r:id="rId2" w:history="1">
      <w:r w:rsidRPr="008601EE">
        <w:rPr>
          <w:rStyle w:val="Hyperlink"/>
          <w:rFonts w:ascii="Verdana" w:hAnsi="Verdana" w:cs="Arial"/>
          <w:color w:val="595959" w:themeColor="text1" w:themeTint="A6"/>
          <w:sz w:val="18"/>
          <w:szCs w:val="18"/>
        </w:rPr>
        <w:t>agata.nalecz@gpw.pl</w:t>
      </w:r>
    </w:hyperlink>
  </w:p>
  <w:p w:rsidR="003909A8" w:rsidRPr="00EF7FD4" w:rsidRDefault="009213CA" w:rsidP="003909A8">
    <w:pPr>
      <w:pStyle w:val="Footer"/>
      <w:rPr>
        <w:rFonts w:ascii="Verdana" w:hAnsi="Verdana" w:cs="Arial"/>
        <w:color w:val="595959" w:themeColor="text1" w:themeTint="A6"/>
        <w:sz w:val="18"/>
        <w:szCs w:val="18"/>
      </w:rPr>
    </w:pPr>
    <w:r w:rsidRPr="00EF7FD4">
      <w:rPr>
        <w:rFonts w:ascii="Verdana" w:hAnsi="Verdana" w:cs="Arial"/>
        <w:color w:val="595959" w:themeColor="text1" w:themeTint="A6"/>
        <w:sz w:val="18"/>
        <w:szCs w:val="18"/>
      </w:rPr>
      <w:t xml:space="preserve">Justyna Rachańska: +48 22 537 7089, +48 605 470 865, </w:t>
    </w:r>
    <w:hyperlink r:id="rId3" w:history="1">
      <w:r w:rsidRPr="00EF7FD4">
        <w:rPr>
          <w:rStyle w:val="Hyperlink"/>
          <w:rFonts w:ascii="Verdana" w:hAnsi="Verdana" w:cs="Arial"/>
          <w:color w:val="595959" w:themeColor="text1" w:themeTint="A6"/>
          <w:sz w:val="18"/>
          <w:szCs w:val="18"/>
        </w:rPr>
        <w:t>justyna.rachanska@gpw.pl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FA" w:rsidRDefault="009E08FA">
      <w:r>
        <w:separator/>
      </w:r>
    </w:p>
  </w:footnote>
  <w:footnote w:type="continuationSeparator" w:id="0">
    <w:p w:rsidR="009E08FA" w:rsidRDefault="009E0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3B" w:rsidRDefault="009213CA">
    <w:pPr>
      <w:pStyle w:val="Header"/>
    </w:pPr>
    <w:r w:rsidRPr="00D62B16">
      <w:rPr>
        <w:noProof/>
        <w:lang w:val="en-GB" w:eastAsia="en-GB"/>
      </w:rPr>
      <w:drawing>
        <wp:anchor distT="0" distB="0" distL="114300" distR="114300" simplePos="0" relativeHeight="251659264" behindDoc="1" locked="0" layoutInCell="1" allowOverlap="1" wp14:anchorId="47864639" wp14:editId="0540CC7B">
          <wp:simplePos x="0" y="0"/>
          <wp:positionH relativeFrom="column">
            <wp:posOffset>-370840</wp:posOffset>
          </wp:positionH>
          <wp:positionV relativeFrom="paragraph">
            <wp:posOffset>-150495</wp:posOffset>
          </wp:positionV>
          <wp:extent cx="1393190" cy="409575"/>
          <wp:effectExtent l="0" t="0" r="0" b="9525"/>
          <wp:wrapTight wrapText="bothSides">
            <wp:wrapPolygon edited="0">
              <wp:start x="0" y="0"/>
              <wp:lineTo x="0" y="21098"/>
              <wp:lineTo x="21265" y="21098"/>
              <wp:lineTo x="21265" y="0"/>
              <wp:lineTo x="0" y="0"/>
            </wp:wrapPolygon>
          </wp:wrapTight>
          <wp:docPr id="3" name="Obraz 3" descr="W:\Logotypy GPW_2015\GPW\LOGO GPW\LOGO GPW PL\GPW pl CMYK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typy GPW_2015\GPW\LOGO GPW\LOGO GPW PL\GPW pl CMYK m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095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CA"/>
    <w:rsid w:val="00162259"/>
    <w:rsid w:val="00171284"/>
    <w:rsid w:val="00172D00"/>
    <w:rsid w:val="001838F0"/>
    <w:rsid w:val="0025042F"/>
    <w:rsid w:val="0027542E"/>
    <w:rsid w:val="003B5C42"/>
    <w:rsid w:val="003C38FC"/>
    <w:rsid w:val="00423E60"/>
    <w:rsid w:val="00583023"/>
    <w:rsid w:val="005F23F0"/>
    <w:rsid w:val="006E36DC"/>
    <w:rsid w:val="00730AF8"/>
    <w:rsid w:val="00765155"/>
    <w:rsid w:val="00805BDB"/>
    <w:rsid w:val="008261DB"/>
    <w:rsid w:val="00891195"/>
    <w:rsid w:val="009213CA"/>
    <w:rsid w:val="009E08FA"/>
    <w:rsid w:val="00A00913"/>
    <w:rsid w:val="00A07A0D"/>
    <w:rsid w:val="00A32196"/>
    <w:rsid w:val="00AB3F3D"/>
    <w:rsid w:val="00B97E64"/>
    <w:rsid w:val="00D2394E"/>
    <w:rsid w:val="00D333BC"/>
    <w:rsid w:val="00E34C57"/>
    <w:rsid w:val="00E73E3A"/>
    <w:rsid w:val="00E95670"/>
    <w:rsid w:val="00F30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CA"/>
    <w:pPr>
      <w:tabs>
        <w:tab w:val="center" w:pos="4536"/>
        <w:tab w:val="right" w:pos="9072"/>
      </w:tabs>
    </w:pPr>
    <w:rPr>
      <w:rFonts w:eastAsia="Calibri"/>
    </w:rPr>
  </w:style>
  <w:style w:type="character" w:customStyle="1" w:styleId="HeaderChar">
    <w:name w:val="Header Char"/>
    <w:basedOn w:val="DefaultParagraphFont"/>
    <w:link w:val="Header"/>
    <w:uiPriority w:val="99"/>
    <w:rsid w:val="009213CA"/>
    <w:rPr>
      <w:rFonts w:ascii="Calibri" w:eastAsia="Calibri" w:hAnsi="Calibri" w:cs="Times New Roman"/>
    </w:rPr>
  </w:style>
  <w:style w:type="paragraph" w:styleId="Footer">
    <w:name w:val="footer"/>
    <w:basedOn w:val="Normal"/>
    <w:link w:val="FooterChar"/>
    <w:uiPriority w:val="99"/>
    <w:unhideWhenUsed/>
    <w:rsid w:val="009213CA"/>
    <w:pPr>
      <w:tabs>
        <w:tab w:val="center" w:pos="4536"/>
        <w:tab w:val="right" w:pos="9072"/>
      </w:tabs>
    </w:pPr>
    <w:rPr>
      <w:rFonts w:eastAsia="Calibri"/>
    </w:rPr>
  </w:style>
  <w:style w:type="character" w:customStyle="1" w:styleId="FooterChar">
    <w:name w:val="Footer Char"/>
    <w:basedOn w:val="DefaultParagraphFont"/>
    <w:link w:val="Footer"/>
    <w:uiPriority w:val="99"/>
    <w:rsid w:val="009213CA"/>
    <w:rPr>
      <w:rFonts w:ascii="Calibri" w:eastAsia="Calibri" w:hAnsi="Calibri" w:cs="Times New Roman"/>
    </w:rPr>
  </w:style>
  <w:style w:type="paragraph" w:styleId="NormalWeb">
    <w:name w:val="Normal (Web)"/>
    <w:basedOn w:val="Normal"/>
    <w:uiPriority w:val="99"/>
    <w:unhideWhenUsed/>
    <w:rsid w:val="009213CA"/>
    <w:pPr>
      <w:spacing w:line="270" w:lineRule="atLeast"/>
    </w:pPr>
    <w:rPr>
      <w:rFonts w:ascii="Tahoma" w:eastAsia="Times New Roman" w:hAnsi="Tahoma" w:cs="Tahoma"/>
      <w:color w:val="666666"/>
      <w:sz w:val="17"/>
      <w:szCs w:val="17"/>
      <w:lang w:eastAsia="pl-PL"/>
    </w:rPr>
  </w:style>
  <w:style w:type="character" w:styleId="Hyperlink">
    <w:name w:val="Hyperlink"/>
    <w:basedOn w:val="DefaultParagraphFont"/>
    <w:uiPriority w:val="99"/>
    <w:rsid w:val="009213CA"/>
    <w:rPr>
      <w:color w:val="0000FF"/>
      <w:u w:val="single"/>
    </w:rPr>
  </w:style>
  <w:style w:type="paragraph" w:styleId="BalloonText">
    <w:name w:val="Balloon Text"/>
    <w:basedOn w:val="Normal"/>
    <w:link w:val="BalloonTextChar"/>
    <w:uiPriority w:val="99"/>
    <w:semiHidden/>
    <w:unhideWhenUsed/>
    <w:rsid w:val="00162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2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CA"/>
    <w:pPr>
      <w:tabs>
        <w:tab w:val="center" w:pos="4536"/>
        <w:tab w:val="right" w:pos="9072"/>
      </w:tabs>
    </w:pPr>
    <w:rPr>
      <w:rFonts w:eastAsia="Calibri"/>
    </w:rPr>
  </w:style>
  <w:style w:type="character" w:customStyle="1" w:styleId="HeaderChar">
    <w:name w:val="Header Char"/>
    <w:basedOn w:val="DefaultParagraphFont"/>
    <w:link w:val="Header"/>
    <w:uiPriority w:val="99"/>
    <w:rsid w:val="009213CA"/>
    <w:rPr>
      <w:rFonts w:ascii="Calibri" w:eastAsia="Calibri" w:hAnsi="Calibri" w:cs="Times New Roman"/>
    </w:rPr>
  </w:style>
  <w:style w:type="paragraph" w:styleId="Footer">
    <w:name w:val="footer"/>
    <w:basedOn w:val="Normal"/>
    <w:link w:val="FooterChar"/>
    <w:uiPriority w:val="99"/>
    <w:unhideWhenUsed/>
    <w:rsid w:val="009213CA"/>
    <w:pPr>
      <w:tabs>
        <w:tab w:val="center" w:pos="4536"/>
        <w:tab w:val="right" w:pos="9072"/>
      </w:tabs>
    </w:pPr>
    <w:rPr>
      <w:rFonts w:eastAsia="Calibri"/>
    </w:rPr>
  </w:style>
  <w:style w:type="character" w:customStyle="1" w:styleId="FooterChar">
    <w:name w:val="Footer Char"/>
    <w:basedOn w:val="DefaultParagraphFont"/>
    <w:link w:val="Footer"/>
    <w:uiPriority w:val="99"/>
    <w:rsid w:val="009213CA"/>
    <w:rPr>
      <w:rFonts w:ascii="Calibri" w:eastAsia="Calibri" w:hAnsi="Calibri" w:cs="Times New Roman"/>
    </w:rPr>
  </w:style>
  <w:style w:type="paragraph" w:styleId="NormalWeb">
    <w:name w:val="Normal (Web)"/>
    <w:basedOn w:val="Normal"/>
    <w:uiPriority w:val="99"/>
    <w:unhideWhenUsed/>
    <w:rsid w:val="009213CA"/>
    <w:pPr>
      <w:spacing w:line="270" w:lineRule="atLeast"/>
    </w:pPr>
    <w:rPr>
      <w:rFonts w:ascii="Tahoma" w:eastAsia="Times New Roman" w:hAnsi="Tahoma" w:cs="Tahoma"/>
      <w:color w:val="666666"/>
      <w:sz w:val="17"/>
      <w:szCs w:val="17"/>
      <w:lang w:eastAsia="pl-PL"/>
    </w:rPr>
  </w:style>
  <w:style w:type="character" w:styleId="Hyperlink">
    <w:name w:val="Hyperlink"/>
    <w:basedOn w:val="DefaultParagraphFont"/>
    <w:uiPriority w:val="99"/>
    <w:rsid w:val="009213CA"/>
    <w:rPr>
      <w:color w:val="0000FF"/>
      <w:u w:val="single"/>
    </w:rPr>
  </w:style>
  <w:style w:type="paragraph" w:styleId="BalloonText">
    <w:name w:val="Balloon Text"/>
    <w:basedOn w:val="Normal"/>
    <w:link w:val="BalloonTextChar"/>
    <w:uiPriority w:val="99"/>
    <w:semiHidden/>
    <w:unhideWhenUsed/>
    <w:rsid w:val="00162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justyna.rachanska@gpw.pl" TargetMode="External"/><Relationship Id="rId2" Type="http://schemas.openxmlformats.org/officeDocument/2006/relationships/hyperlink" Target="mailto:agata.nalecz@gpw.pl" TargetMode="External"/><Relationship Id="rId1" Type="http://schemas.openxmlformats.org/officeDocument/2006/relationships/hyperlink" Target="mailto:press@gpw.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justyna.rachanska@gpw.pl" TargetMode="External"/><Relationship Id="rId2" Type="http://schemas.openxmlformats.org/officeDocument/2006/relationships/hyperlink" Target="mailto:agata.nalecz@gpw.pl" TargetMode="External"/><Relationship Id="rId1" Type="http://schemas.openxmlformats.org/officeDocument/2006/relationships/hyperlink" Target="mailto:press@gp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Nałęcz Agata</dc:creator>
  <cp:lastModifiedBy>Marina Bellin</cp:lastModifiedBy>
  <cp:revision>2</cp:revision>
  <cp:lastPrinted>2016-02-25T08:00:00Z</cp:lastPrinted>
  <dcterms:created xsi:type="dcterms:W3CDTF">2016-02-25T13:48:00Z</dcterms:created>
  <dcterms:modified xsi:type="dcterms:W3CDTF">2016-02-25T13:48:00Z</dcterms:modified>
</cp:coreProperties>
</file>