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F6" w:rsidRPr="00D11547" w:rsidRDefault="008A2A57" w:rsidP="002C6CF6">
      <w:pPr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bookmarkStart w:id="0" w:name="_GoBack"/>
      <w:bookmarkEnd w:id="0"/>
      <w:r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br/>
      </w:r>
      <w:r w:rsidR="004D6C69" w:rsidRPr="00D11547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Table</w:t>
      </w:r>
      <w:r w:rsidR="00252078" w:rsidRPr="00D11547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 1</w:t>
      </w:r>
    </w:p>
    <w:p w:rsidR="001D31DF" w:rsidRPr="00D11547" w:rsidRDefault="001D31DF" w:rsidP="001D31DF">
      <w:pPr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Volume of trading (including block trades):</w:t>
      </w:r>
    </w:p>
    <w:p w:rsidR="001D31DF" w:rsidRPr="00D11547" w:rsidRDefault="00F22A42" w:rsidP="001D31D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October</w:t>
      </w:r>
      <w:r w:rsidR="006B67F2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2013</w:t>
      </w:r>
    </w:p>
    <w:p w:rsidR="001D31DF" w:rsidRPr="00D11547" w:rsidRDefault="00F22A42" w:rsidP="001D31D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November</w:t>
      </w:r>
      <w:r w:rsidR="003438E1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</w:t>
      </w:r>
      <w:r w:rsidR="006B67F2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2012 – </w:t>
      </w:r>
      <w:r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October</w:t>
      </w:r>
      <w:r w:rsidR="006B67F2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</w:t>
      </w:r>
      <w:r w:rsidR="004D6C69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2013</w:t>
      </w:r>
    </w:p>
    <w:p w:rsidR="001D31DF" w:rsidRPr="00D11547" w:rsidRDefault="001D31DF" w:rsidP="001D31D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number of open interest (NOI) at the end of </w:t>
      </w:r>
      <w:r w:rsidR="00F22A42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October</w:t>
      </w:r>
      <w:r w:rsidR="008A2A5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2013</w:t>
      </w:r>
    </w:p>
    <w:p w:rsidR="003438E1" w:rsidRPr="00D11547" w:rsidRDefault="003438E1" w:rsidP="003438E1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</w:p>
    <w:tbl>
      <w:tblPr>
        <w:tblW w:w="1570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584"/>
        <w:gridCol w:w="1029"/>
        <w:gridCol w:w="1073"/>
        <w:gridCol w:w="1029"/>
        <w:gridCol w:w="1117"/>
        <w:gridCol w:w="1139"/>
        <w:gridCol w:w="1095"/>
        <w:gridCol w:w="1292"/>
        <w:gridCol w:w="1139"/>
        <w:gridCol w:w="920"/>
        <w:gridCol w:w="898"/>
        <w:gridCol w:w="854"/>
        <w:gridCol w:w="963"/>
      </w:tblGrid>
      <w:tr w:rsidR="0001304C" w:rsidRPr="00F22A42" w:rsidTr="00D27F67">
        <w:trPr>
          <w:trHeight w:val="919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No.</w:t>
            </w:r>
          </w:p>
        </w:tc>
        <w:tc>
          <w:tcPr>
            <w:tcW w:w="2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INSTRUMENT</w:t>
            </w:r>
          </w:p>
        </w:tc>
        <w:tc>
          <w:tcPr>
            <w:tcW w:w="9833" w:type="dxa"/>
            <w:gridSpan w:val="9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 xml:space="preserve"> </w:t>
            </w:r>
          </w:p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VOLUME OF TRADING</w:t>
            </w:r>
          </w:p>
          <w:p w:rsidR="0001304C" w:rsidRPr="00F22A42" w:rsidRDefault="0001304C" w:rsidP="00F22A42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(#)</w:t>
            </w:r>
          </w:p>
        </w:tc>
        <w:tc>
          <w:tcPr>
            <w:tcW w:w="2715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 xml:space="preserve"> </w:t>
            </w:r>
          </w:p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NOI</w:t>
            </w:r>
          </w:p>
          <w:p w:rsidR="0001304C" w:rsidRPr="00F22A42" w:rsidRDefault="0001304C" w:rsidP="00F22A42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(#)</w:t>
            </w:r>
          </w:p>
        </w:tc>
      </w:tr>
      <w:tr w:rsidR="0001304C" w:rsidRPr="0001304C" w:rsidTr="00DE31BD">
        <w:trPr>
          <w:trHeight w:val="318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OCTOBER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 xml:space="preserve"> JAN - OCT 2013 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JAN - OCT 2012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br/>
            </w: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CHANGE</w:t>
            </w:r>
          </w:p>
          <w:p w:rsidR="0001304C" w:rsidRPr="00F22A42" w:rsidRDefault="0001304C" w:rsidP="001E4217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(%)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LAST 12 MONTHS NOV'12-OCT'13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F22A42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FFFFFF"/>
                <w:sz w:val="16"/>
                <w:szCs w:val="16"/>
                <w:lang w:eastAsia="pl-PL"/>
              </w:rPr>
              <w:t>2012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CHANGE</w:t>
            </w:r>
          </w:p>
          <w:p w:rsidR="0001304C" w:rsidRPr="0001304C" w:rsidRDefault="0001304C" w:rsidP="001E4217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(%)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END OF OCTOBER</w:t>
            </w:r>
          </w:p>
        </w:tc>
      </w:tr>
      <w:tr w:rsidR="0001304C" w:rsidRPr="0001304C" w:rsidTr="00DE31BD">
        <w:trPr>
          <w:trHeight w:val="288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2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2013</w:t>
            </w:r>
          </w:p>
        </w:tc>
        <w:tc>
          <w:tcPr>
            <w:tcW w:w="1073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2012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right w:val="nil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CHANGE</w:t>
            </w:r>
          </w:p>
          <w:p w:rsidR="0001304C" w:rsidRPr="0001304C" w:rsidRDefault="0001304C" w:rsidP="001E4217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(%)</w:t>
            </w: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9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2013</w:t>
            </w:r>
          </w:p>
        </w:tc>
        <w:tc>
          <w:tcPr>
            <w:tcW w:w="854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2012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CHANGE</w:t>
            </w:r>
          </w:p>
          <w:p w:rsidR="0001304C" w:rsidRPr="0001304C" w:rsidRDefault="0001304C" w:rsidP="001E4217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  <w:t>(%)</w:t>
            </w:r>
          </w:p>
        </w:tc>
      </w:tr>
      <w:tr w:rsidR="0001304C" w:rsidRPr="0001304C" w:rsidTr="005F13FA">
        <w:trPr>
          <w:trHeight w:val="303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2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F22A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73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854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1304C" w:rsidRPr="0001304C" w:rsidRDefault="0001304C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pl-PL"/>
              </w:rPr>
            </w:pP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01304C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01304C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WIG20 FUTURES</w:t>
            </w:r>
          </w:p>
        </w:tc>
        <w:tc>
          <w:tcPr>
            <w:tcW w:w="10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01304C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540 448</w:t>
            </w:r>
          </w:p>
        </w:tc>
        <w:tc>
          <w:tcPr>
            <w:tcW w:w="10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01304C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567 115</w:t>
            </w:r>
          </w:p>
        </w:tc>
        <w:tc>
          <w:tcPr>
            <w:tcW w:w="102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01304C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130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-4,70%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304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6 930 </w:t>
            </w: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113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7 729 731</w:t>
            </w: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-10,33%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8 278 303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9 077 040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-8,80%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113 646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97 669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16,36%</w:t>
            </w: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mWIG40 FUTURES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11 162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1 120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896,61%</w:t>
            </w:r>
          </w:p>
        </w:tc>
        <w:tc>
          <w:tcPr>
            <w:tcW w:w="11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60 951</w:t>
            </w:r>
          </w:p>
        </w:tc>
        <w:tc>
          <w:tcPr>
            <w:tcW w:w="11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11 434</w:t>
            </w: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433,07%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63 565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14 048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352,48%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2608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442,20%</w:t>
            </w: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SINGLE STOCK FUTURES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27 017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63 809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-57,66%</w:t>
            </w:r>
          </w:p>
        </w:tc>
        <w:tc>
          <w:tcPr>
            <w:tcW w:w="11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535 868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434 250</w:t>
            </w: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23,40%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641 948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540 330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18,81%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10 998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12 481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-11,88%</w:t>
            </w: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CURRENCY FUTURES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196 003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102 278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91,64%</w:t>
            </w:r>
          </w:p>
        </w:tc>
        <w:tc>
          <w:tcPr>
            <w:tcW w:w="11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2 555 799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733 848</w:t>
            </w: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248,27%</w:t>
            </w:r>
          </w:p>
        </w:tc>
        <w:tc>
          <w:tcPr>
            <w:tcW w:w="12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2 782 886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960 935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189,60%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51 583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21 107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144,39%</w:t>
            </w: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1E4217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1E42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 xml:space="preserve">WIBOR </w:t>
            </w:r>
            <w:r w:rsidR="00DF1AF8" w:rsidRPr="001E42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 xml:space="preserve">and T-BOND </w:t>
            </w:r>
            <w:r w:rsidRPr="001E42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FUTURES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1 824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1 824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22A42" w:rsidRPr="00F22A42" w:rsidTr="00333DA7">
        <w:trPr>
          <w:trHeight w:val="288"/>
        </w:trPr>
        <w:tc>
          <w:tcPr>
            <w:tcW w:w="56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WIG20 OPTIONS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42 125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52 474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-19,72%</w:t>
            </w:r>
          </w:p>
        </w:tc>
        <w:tc>
          <w:tcPr>
            <w:tcW w:w="11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690 159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544 097</w:t>
            </w:r>
          </w:p>
        </w:tc>
        <w:tc>
          <w:tcPr>
            <w:tcW w:w="1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26,84%</w:t>
            </w:r>
          </w:p>
        </w:tc>
        <w:tc>
          <w:tcPr>
            <w:tcW w:w="12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861 426</w:t>
            </w:r>
          </w:p>
        </w:tc>
        <w:tc>
          <w:tcPr>
            <w:tcW w:w="11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715 364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20,42%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53 502</w:t>
            </w: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38 031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40,68%</w:t>
            </w:r>
          </w:p>
        </w:tc>
      </w:tr>
      <w:tr w:rsidR="00F22A42" w:rsidRPr="00F22A42" w:rsidTr="00333DA7">
        <w:trPr>
          <w:trHeight w:val="30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INDEX PARTICIPATION UNITS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73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02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-58,82%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-71,43%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10 552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28 610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-63,12%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8 844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11 453</w:t>
            </w:r>
          </w:p>
        </w:tc>
        <w:tc>
          <w:tcPr>
            <w:tcW w:w="9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-22,78%</w:t>
            </w:r>
          </w:p>
        </w:tc>
      </w:tr>
      <w:tr w:rsidR="00F22A42" w:rsidRPr="00F22A42" w:rsidTr="001E4217">
        <w:trPr>
          <w:trHeight w:val="30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F22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818 600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786 847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4,04%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10 775 629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9 453 479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13,99%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12 638 680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11 336 327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11,49%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241 451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181 222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F22A42" w:rsidRPr="00F22A42" w:rsidRDefault="00F22A42" w:rsidP="001E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2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33,23%</w:t>
            </w:r>
          </w:p>
        </w:tc>
      </w:tr>
    </w:tbl>
    <w:p w:rsidR="003438E1" w:rsidRPr="00D11547" w:rsidRDefault="003438E1" w:rsidP="003438E1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</w:p>
    <w:p w:rsidR="00590163" w:rsidRPr="00AC59A1" w:rsidRDefault="00F743F2" w:rsidP="00590163">
      <w:pPr>
        <w:jc w:val="both"/>
        <w:rPr>
          <w:rFonts w:ascii="Arial" w:hAnsi="Arial" w:cs="Arial"/>
          <w:color w:val="595959" w:themeColor="text1" w:themeTint="A6"/>
          <w:sz w:val="16"/>
          <w:szCs w:val="16"/>
          <w:lang w:val="en-US"/>
        </w:rPr>
      </w:pPr>
      <w:proofErr w:type="gramStart"/>
      <w:r w:rsidRPr="00AC59A1">
        <w:rPr>
          <w:rFonts w:ascii="Arial" w:hAnsi="Arial" w:cs="Arial"/>
          <w:color w:val="595959" w:themeColor="text1" w:themeTint="A6"/>
          <w:sz w:val="16"/>
          <w:szCs w:val="16"/>
          <w:lang w:val="en-US"/>
        </w:rPr>
        <w:t>*</w:t>
      </w:r>
      <w:r w:rsidR="00F71558">
        <w:rPr>
          <w:rFonts w:ascii="Arial" w:hAnsi="Arial" w:cs="Arial"/>
          <w:color w:val="595959" w:themeColor="text1" w:themeTint="A6"/>
          <w:sz w:val="16"/>
          <w:szCs w:val="16"/>
          <w:lang w:val="en-US"/>
        </w:rPr>
        <w:t xml:space="preserve">  </w:t>
      </w:r>
      <w:r w:rsidR="00052D57" w:rsidRPr="00AC59A1">
        <w:rPr>
          <w:rFonts w:ascii="Arial" w:hAnsi="Arial" w:cs="Arial"/>
          <w:color w:val="595959" w:themeColor="text1" w:themeTint="A6"/>
          <w:sz w:val="16"/>
          <w:szCs w:val="16"/>
          <w:lang w:val="en-US"/>
        </w:rPr>
        <w:t>The</w:t>
      </w:r>
      <w:proofErr w:type="gramEnd"/>
      <w:r w:rsidR="00052D57" w:rsidRPr="00AC59A1">
        <w:rPr>
          <w:rFonts w:ascii="Arial" w:hAnsi="Arial" w:cs="Arial"/>
          <w:color w:val="595959" w:themeColor="text1" w:themeTint="A6"/>
          <w:sz w:val="16"/>
          <w:szCs w:val="16"/>
          <w:lang w:val="en-US"/>
        </w:rPr>
        <w:t xml:space="preserve"> statistics of currency futures contracts include the change of the standard specification of currency futures as of 1 May 2012 whereby the size of such contracts was divided by 10. </w:t>
      </w:r>
    </w:p>
    <w:p w:rsidR="0053777A" w:rsidRPr="00D11547" w:rsidRDefault="0053777A" w:rsidP="002C6CF6">
      <w:pPr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sectPr w:rsidR="0053777A" w:rsidRPr="00D11547" w:rsidSect="000D5196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52078" w:rsidRPr="00AC59A1" w:rsidRDefault="00AF5D14" w:rsidP="00252078">
      <w:pPr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AC59A1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lastRenderedPageBreak/>
        <w:t>Figure</w:t>
      </w:r>
      <w:r w:rsidR="00252078" w:rsidRPr="00AC59A1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 1</w:t>
      </w:r>
    </w:p>
    <w:p w:rsidR="00252078" w:rsidRPr="00AC59A1" w:rsidRDefault="00AF5D14" w:rsidP="00252078">
      <w:pPr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AC59A1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Annual volume of trading (including block trades) in all derivative instruments listed on WSE in 1998 – </w:t>
      </w:r>
      <w:r w:rsidR="00F22A42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October</w:t>
      </w:r>
      <w:r w:rsidR="00837EA3" w:rsidRPr="00AC59A1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2013</w:t>
      </w:r>
      <w:r w:rsidRPr="00AC59A1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(million instruments).</w:t>
      </w:r>
    </w:p>
    <w:p w:rsidR="00252078" w:rsidRPr="00D11547" w:rsidRDefault="00F22A42" w:rsidP="00252078">
      <w:pPr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F22A42">
        <w:rPr>
          <w:rFonts w:ascii="Arial" w:hAnsi="Arial" w:cs="Arial"/>
          <w:b/>
          <w:noProof/>
          <w:color w:val="595959" w:themeColor="text1" w:themeTint="A6"/>
          <w:sz w:val="18"/>
          <w:szCs w:val="18"/>
          <w:lang w:val="en-GB" w:eastAsia="en-GB"/>
        </w:rPr>
        <w:drawing>
          <wp:inline distT="0" distB="0" distL="0" distR="0">
            <wp:extent cx="5310505" cy="3158037"/>
            <wp:effectExtent l="19050" t="0" r="23495" b="4263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2078" w:rsidRPr="00D11547" w:rsidRDefault="00AF5D14" w:rsidP="00252078">
      <w:pPr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</w:pPr>
      <w:r w:rsidRPr="00D11547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>Figure</w:t>
      </w:r>
      <w:r w:rsidR="00252078" w:rsidRPr="00D11547">
        <w:rPr>
          <w:rFonts w:ascii="Arial" w:hAnsi="Arial" w:cs="Arial"/>
          <w:b/>
          <w:color w:val="595959" w:themeColor="text1" w:themeTint="A6"/>
          <w:sz w:val="18"/>
          <w:szCs w:val="18"/>
          <w:lang w:val="en-GB"/>
        </w:rPr>
        <w:t xml:space="preserve"> 2</w:t>
      </w:r>
    </w:p>
    <w:p w:rsidR="00252078" w:rsidRPr="00D11547" w:rsidRDefault="00AF5D14" w:rsidP="00252078">
      <w:pPr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proofErr w:type="gramStart"/>
      <w:r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Total number of open interest in all derivative instruments at year-end and at the end of </w:t>
      </w:r>
      <w:r w:rsidR="00F22A42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>October</w:t>
      </w:r>
      <w:r w:rsidR="00837EA3"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2013</w:t>
      </w:r>
      <w:r w:rsidRPr="00D11547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 xml:space="preserve"> (thousand instruments).</w:t>
      </w:r>
      <w:proofErr w:type="gramEnd"/>
    </w:p>
    <w:p w:rsidR="00AF5D14" w:rsidRPr="00D11547" w:rsidRDefault="00F22A42" w:rsidP="00D26BA1">
      <w:pPr>
        <w:jc w:val="both"/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F22A42">
        <w:rPr>
          <w:rFonts w:ascii="Arial" w:hAnsi="Arial" w:cs="Arial"/>
          <w:noProof/>
          <w:color w:val="595959" w:themeColor="text1" w:themeTint="A6"/>
          <w:sz w:val="18"/>
          <w:szCs w:val="18"/>
          <w:lang w:val="en-GB" w:eastAsia="en-GB"/>
        </w:rPr>
        <w:drawing>
          <wp:inline distT="0" distB="0" distL="0" distR="0">
            <wp:extent cx="5310505" cy="3483502"/>
            <wp:effectExtent l="19050" t="0" r="23495" b="2648"/>
            <wp:docPr id="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AF5D14" w:rsidRPr="00D11547" w:rsidSect="000D5196">
      <w:pgSz w:w="11906" w:h="16838"/>
      <w:pgMar w:top="1135" w:right="1700" w:bottom="184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5E" w:rsidRDefault="00FC1B5E" w:rsidP="0086331F">
      <w:pPr>
        <w:spacing w:after="0" w:line="240" w:lineRule="auto"/>
      </w:pPr>
      <w:r>
        <w:separator/>
      </w:r>
    </w:p>
  </w:endnote>
  <w:endnote w:type="continuationSeparator" w:id="0">
    <w:p w:rsidR="00FC1B5E" w:rsidRDefault="00FC1B5E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0E" w:rsidRPr="00196BC1" w:rsidRDefault="00E6000E" w:rsidP="00E6000E">
    <w:pPr>
      <w:pStyle w:val="Footer"/>
      <w:rPr>
        <w:rFonts w:ascii="Arial" w:hAnsi="Arial" w:cs="Arial"/>
        <w:b/>
        <w:color w:val="595959" w:themeColor="text1" w:themeTint="A6"/>
        <w:sz w:val="16"/>
        <w:szCs w:val="16"/>
        <w:lang w:val="en-US"/>
      </w:rPr>
    </w:pPr>
    <w:r w:rsidRPr="00196BC1">
      <w:rPr>
        <w:rFonts w:ascii="Arial" w:hAnsi="Arial" w:cs="Arial"/>
        <w:b/>
        <w:color w:val="595959" w:themeColor="text1" w:themeTint="A6"/>
        <w:sz w:val="16"/>
        <w:szCs w:val="16"/>
        <w:lang w:val="en-US"/>
      </w:rPr>
      <w:t>WSE Public Relations:</w:t>
    </w:r>
  </w:p>
  <w:p w:rsidR="00E6000E" w:rsidRPr="00196BC1" w:rsidRDefault="00E6000E" w:rsidP="00E6000E">
    <w:pPr>
      <w:pStyle w:val="Footer"/>
      <w:rPr>
        <w:rFonts w:ascii="Arial" w:hAnsi="Arial" w:cs="Arial"/>
        <w:b/>
        <w:color w:val="595959" w:themeColor="text1" w:themeTint="A6"/>
        <w:sz w:val="16"/>
        <w:szCs w:val="16"/>
        <w:lang w:val="en-US"/>
      </w:rPr>
    </w:pPr>
    <w:r w:rsidRPr="00196BC1">
      <w:rPr>
        <w:rFonts w:ascii="Arial" w:hAnsi="Arial" w:cs="Arial"/>
        <w:b/>
        <w:color w:val="595959" w:themeColor="text1" w:themeTint="A6"/>
        <w:sz w:val="16"/>
        <w:szCs w:val="16"/>
        <w:lang w:val="en-US"/>
      </w:rPr>
      <w:t xml:space="preserve">Katarzyna Kozłowska – Director, WSE Press Spokesperson: +48 22 537 74 71, </w:t>
    </w:r>
    <w:hyperlink r:id="rId1" w:history="1">
      <w:r w:rsidRPr="00196BC1">
        <w:rPr>
          <w:rStyle w:val="Hyperlink"/>
          <w:rFonts w:ascii="Arial" w:hAnsi="Arial" w:cs="Arial"/>
          <w:b/>
          <w:color w:val="595959" w:themeColor="text1" w:themeTint="A6"/>
          <w:sz w:val="16"/>
          <w:szCs w:val="16"/>
          <w:lang w:val="en-US"/>
        </w:rPr>
        <w:t>press@gpw.pl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  <w:u w:val="single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Bartłomiej Eider, +48 22 537 75 62, +48 665 509 122, </w:t>
    </w:r>
    <w:hyperlink r:id="rId2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bartlomiej.eider@gpw.pl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Marta Grajeta: +48 22 537 77 66, +48 603 369 699, </w:t>
    </w:r>
    <w:hyperlink r:id="rId3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marta.grajeta@gpw.pl</w:t>
      </w:r>
    </w:hyperlink>
  </w:p>
  <w:p w:rsidR="00E6000E" w:rsidRPr="0086095D" w:rsidRDefault="00E6000E" w:rsidP="00E6000E">
    <w:pPr>
      <w:pStyle w:val="Footer"/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Olga Chądzeńska: +48 22 537 78 99, +48 603 366 808, </w:t>
    </w:r>
    <w:hyperlink r:id="rId4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olga.chadzenska@gpw.pl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Wojciech Konefał: +48 537 7717, +48 605 470 233, </w:t>
    </w:r>
    <w:hyperlink r:id="rId5" w:history="1">
      <w:r w:rsidRPr="0086095D">
        <w:rPr>
          <w:rFonts w:ascii="Arial" w:hAnsi="Arial" w:cs="Arial"/>
          <w:color w:val="595959" w:themeColor="text1" w:themeTint="A6"/>
          <w:sz w:val="16"/>
          <w:szCs w:val="16"/>
          <w:u w:val="single"/>
        </w:rPr>
        <w:t>wojciech.konefal@gpw.pl</w:t>
      </w:r>
    </w:hyperlink>
  </w:p>
  <w:p w:rsidR="00143158" w:rsidRDefault="00143158" w:rsidP="0040019F">
    <w:pPr>
      <w:pStyle w:val="Footer"/>
      <w:rPr>
        <w:rFonts w:ascii="Verdana" w:hAnsi="Verdana" w:cs="Arial"/>
        <w:b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0E" w:rsidRPr="00196BC1" w:rsidRDefault="00E6000E" w:rsidP="00E6000E">
    <w:pPr>
      <w:pStyle w:val="Footer"/>
      <w:rPr>
        <w:rFonts w:ascii="Arial" w:hAnsi="Arial" w:cs="Arial"/>
        <w:b/>
        <w:color w:val="595959" w:themeColor="text1" w:themeTint="A6"/>
        <w:sz w:val="16"/>
        <w:szCs w:val="16"/>
        <w:lang w:val="en-US"/>
      </w:rPr>
    </w:pPr>
    <w:r w:rsidRPr="00196BC1">
      <w:rPr>
        <w:rFonts w:ascii="Arial" w:hAnsi="Arial" w:cs="Arial"/>
        <w:b/>
        <w:color w:val="595959" w:themeColor="text1" w:themeTint="A6"/>
        <w:sz w:val="16"/>
        <w:szCs w:val="16"/>
        <w:lang w:val="en-US"/>
      </w:rPr>
      <w:t>WSE Public Relations:</w:t>
    </w:r>
  </w:p>
  <w:p w:rsidR="00E6000E" w:rsidRPr="00196BC1" w:rsidRDefault="00E6000E" w:rsidP="00E6000E">
    <w:pPr>
      <w:pStyle w:val="Footer"/>
      <w:rPr>
        <w:rFonts w:ascii="Arial" w:hAnsi="Arial" w:cs="Arial"/>
        <w:b/>
        <w:color w:val="595959" w:themeColor="text1" w:themeTint="A6"/>
        <w:sz w:val="16"/>
        <w:szCs w:val="16"/>
        <w:lang w:val="en-US"/>
      </w:rPr>
    </w:pPr>
    <w:r w:rsidRPr="00196BC1">
      <w:rPr>
        <w:rFonts w:ascii="Arial" w:hAnsi="Arial" w:cs="Arial"/>
        <w:b/>
        <w:color w:val="595959" w:themeColor="text1" w:themeTint="A6"/>
        <w:sz w:val="16"/>
        <w:szCs w:val="16"/>
        <w:lang w:val="en-US"/>
      </w:rPr>
      <w:t xml:space="preserve">Katarzyna Kozłowska – Director, WSE Press Spokesperson: +48 22 537 74 71, </w:t>
    </w:r>
    <w:hyperlink r:id="rId1" w:history="1">
      <w:r w:rsidRPr="00196BC1">
        <w:rPr>
          <w:rStyle w:val="Hyperlink"/>
          <w:rFonts w:ascii="Arial" w:hAnsi="Arial" w:cs="Arial"/>
          <w:b/>
          <w:color w:val="595959" w:themeColor="text1" w:themeTint="A6"/>
          <w:sz w:val="16"/>
          <w:szCs w:val="16"/>
          <w:lang w:val="en-US"/>
        </w:rPr>
        <w:t>press@gpw.pl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  <w:u w:val="single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Bartłomiej Eider, +48 22 537 75 62, +48 665 509 122, </w:t>
    </w:r>
    <w:hyperlink r:id="rId2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bartlomiej.eider@gpw.pl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Marta Grajeta: +48 22 537 77 66, +48 603 369 699, </w:t>
    </w:r>
    <w:hyperlink r:id="rId3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marta.grajeta@gpw.pl</w:t>
      </w:r>
    </w:hyperlink>
  </w:p>
  <w:p w:rsidR="00E6000E" w:rsidRPr="0086095D" w:rsidRDefault="00E6000E" w:rsidP="00E6000E">
    <w:pPr>
      <w:pStyle w:val="Footer"/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Olga Chądzeńska: +48 22 537 78 99, +48 603 366 808, </w:t>
    </w:r>
    <w:hyperlink r:id="rId4" w:history="1">
      <w:r w:rsidRPr="0086095D">
        <w:rPr>
          <w:rStyle w:val="Hyperlink"/>
          <w:rFonts w:ascii="Arial" w:hAnsi="Arial" w:cs="Arial"/>
          <w:color w:val="595959" w:themeColor="text1" w:themeTint="A6"/>
          <w:sz w:val="16"/>
          <w:szCs w:val="16"/>
        </w:rPr>
        <w:t>olga.chadzenska@gpw.pl</w:t>
      </w:r>
    </w:hyperlink>
  </w:p>
  <w:p w:rsidR="00E6000E" w:rsidRPr="0086095D" w:rsidRDefault="00E6000E" w:rsidP="00E6000E">
    <w:pPr>
      <w:pStyle w:val="Footer"/>
      <w:rPr>
        <w:rFonts w:ascii="Arial" w:hAnsi="Arial" w:cs="Arial"/>
        <w:color w:val="595959" w:themeColor="text1" w:themeTint="A6"/>
        <w:sz w:val="16"/>
        <w:szCs w:val="16"/>
      </w:rPr>
    </w:pPr>
    <w:r w:rsidRPr="0086095D">
      <w:rPr>
        <w:rFonts w:ascii="Arial" w:hAnsi="Arial" w:cs="Arial"/>
        <w:color w:val="595959" w:themeColor="text1" w:themeTint="A6"/>
        <w:sz w:val="16"/>
        <w:szCs w:val="16"/>
      </w:rPr>
      <w:t xml:space="preserve">Wojciech Konefał: +48 537 7717, +48 605 470 233, </w:t>
    </w:r>
    <w:hyperlink r:id="rId5" w:history="1">
      <w:r w:rsidRPr="0086095D">
        <w:rPr>
          <w:rFonts w:ascii="Arial" w:hAnsi="Arial" w:cs="Arial"/>
          <w:color w:val="595959" w:themeColor="text1" w:themeTint="A6"/>
          <w:sz w:val="16"/>
          <w:szCs w:val="16"/>
          <w:u w:val="single"/>
        </w:rPr>
        <w:t>wojciech.konefal@gpw.pl</w:t>
      </w:r>
    </w:hyperlink>
  </w:p>
  <w:p w:rsidR="00143158" w:rsidRPr="00E6000E" w:rsidRDefault="00143158" w:rsidP="00E6000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5E" w:rsidRDefault="00FC1B5E" w:rsidP="0086331F">
      <w:pPr>
        <w:spacing w:after="0" w:line="240" w:lineRule="auto"/>
      </w:pPr>
      <w:r>
        <w:separator/>
      </w:r>
    </w:p>
  </w:footnote>
  <w:footnote w:type="continuationSeparator" w:id="0">
    <w:p w:rsidR="00FC1B5E" w:rsidRDefault="00FC1B5E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55" w:rsidRDefault="00FC6755">
    <w:pPr>
      <w:pStyle w:val="Header"/>
    </w:pPr>
    <w:r w:rsidRPr="00FC6755">
      <w:rPr>
        <w:noProof/>
        <w:lang w:val="en-GB" w:eastAsia="en-GB"/>
      </w:rPr>
      <w:drawing>
        <wp:inline distT="0" distB="0" distL="0" distR="0" wp14:anchorId="529D5353" wp14:editId="78926706">
          <wp:extent cx="1439261" cy="576148"/>
          <wp:effectExtent l="19050" t="0" r="8539" b="0"/>
          <wp:docPr id="2" name="Obraz 0" descr="WSE_basic for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E_basic form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738" cy="57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58" w:rsidRDefault="00D53B72">
    <w:pPr>
      <w:pStyle w:val="Header"/>
    </w:pPr>
    <w:r w:rsidRPr="00D53B72">
      <w:rPr>
        <w:noProof/>
        <w:lang w:val="en-GB" w:eastAsia="en-GB"/>
      </w:rPr>
      <w:drawing>
        <wp:inline distT="0" distB="0" distL="0" distR="0" wp14:anchorId="23874326" wp14:editId="1727C6EC">
          <wp:extent cx="1439261" cy="576148"/>
          <wp:effectExtent l="19050" t="0" r="8539" b="0"/>
          <wp:docPr id="3" name="Obraz 0" descr="WSE_basic for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E_basic form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738" cy="57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D074F"/>
    <w:multiLevelType w:val="hybridMultilevel"/>
    <w:tmpl w:val="39FE1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1361EB"/>
    <w:multiLevelType w:val="hybridMultilevel"/>
    <w:tmpl w:val="8E18D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DF283F"/>
    <w:multiLevelType w:val="hybridMultilevel"/>
    <w:tmpl w:val="543ABDA8"/>
    <w:lvl w:ilvl="0" w:tplc="8702C2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5FF7C3E"/>
    <w:multiLevelType w:val="multilevel"/>
    <w:tmpl w:val="36E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D7708E"/>
    <w:multiLevelType w:val="multilevel"/>
    <w:tmpl w:val="A25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40448C"/>
    <w:multiLevelType w:val="multilevel"/>
    <w:tmpl w:val="E91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7878B7"/>
    <w:multiLevelType w:val="hybridMultilevel"/>
    <w:tmpl w:val="CE786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96843"/>
    <w:multiLevelType w:val="hybridMultilevel"/>
    <w:tmpl w:val="46245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A3BCB"/>
    <w:multiLevelType w:val="hybridMultilevel"/>
    <w:tmpl w:val="2882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108C6"/>
    <w:multiLevelType w:val="hybridMultilevel"/>
    <w:tmpl w:val="A5F07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140E5"/>
    <w:multiLevelType w:val="hybridMultilevel"/>
    <w:tmpl w:val="C48A8376"/>
    <w:lvl w:ilvl="0" w:tplc="6ABE8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1">
    <w:nsid w:val="4B8619E7"/>
    <w:multiLevelType w:val="multilevel"/>
    <w:tmpl w:val="F43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CB1A00"/>
    <w:multiLevelType w:val="hybridMultilevel"/>
    <w:tmpl w:val="4F2C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A1899"/>
    <w:multiLevelType w:val="hybridMultilevel"/>
    <w:tmpl w:val="F67C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73EB5"/>
    <w:multiLevelType w:val="hybridMultilevel"/>
    <w:tmpl w:val="EBEEB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F5496"/>
    <w:multiLevelType w:val="multilevel"/>
    <w:tmpl w:val="AD8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0D1E7B"/>
    <w:multiLevelType w:val="multilevel"/>
    <w:tmpl w:val="283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316E3C"/>
    <w:multiLevelType w:val="hybridMultilevel"/>
    <w:tmpl w:val="947CD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631F9"/>
    <w:multiLevelType w:val="hybridMultilevel"/>
    <w:tmpl w:val="5696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2394F"/>
    <w:multiLevelType w:val="hybridMultilevel"/>
    <w:tmpl w:val="292CC810"/>
    <w:lvl w:ilvl="0" w:tplc="43928F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23"/>
  </w:num>
  <w:num w:numId="13">
    <w:abstractNumId w:val="20"/>
  </w:num>
  <w:num w:numId="14">
    <w:abstractNumId w:val="10"/>
  </w:num>
  <w:num w:numId="15">
    <w:abstractNumId w:val="13"/>
  </w:num>
  <w:num w:numId="16">
    <w:abstractNumId w:val="18"/>
  </w:num>
  <w:num w:numId="17">
    <w:abstractNumId w:val="11"/>
  </w:num>
  <w:num w:numId="18">
    <w:abstractNumId w:val="19"/>
  </w:num>
  <w:num w:numId="19">
    <w:abstractNumId w:val="22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</w:num>
  <w:num w:numId="23">
    <w:abstractNumId w:val="29"/>
  </w:num>
  <w:num w:numId="24">
    <w:abstractNumId w:val="26"/>
  </w:num>
  <w:num w:numId="25">
    <w:abstractNumId w:val="25"/>
  </w:num>
  <w:num w:numId="26">
    <w:abstractNumId w:val="12"/>
  </w:num>
  <w:num w:numId="27">
    <w:abstractNumId w:val="17"/>
  </w:num>
  <w:num w:numId="28">
    <w:abstractNumId w:val="16"/>
  </w:num>
  <w:num w:numId="29">
    <w:abstractNumId w:val="28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34"/>
    <w:rsid w:val="00006FEF"/>
    <w:rsid w:val="0000740D"/>
    <w:rsid w:val="00011BE5"/>
    <w:rsid w:val="0001304C"/>
    <w:rsid w:val="00022F1E"/>
    <w:rsid w:val="00027A21"/>
    <w:rsid w:val="000310AE"/>
    <w:rsid w:val="000375EF"/>
    <w:rsid w:val="0004255B"/>
    <w:rsid w:val="0004403A"/>
    <w:rsid w:val="00046D0F"/>
    <w:rsid w:val="000519C7"/>
    <w:rsid w:val="00052D57"/>
    <w:rsid w:val="00053505"/>
    <w:rsid w:val="00054370"/>
    <w:rsid w:val="00055834"/>
    <w:rsid w:val="00060F65"/>
    <w:rsid w:val="0006244E"/>
    <w:rsid w:val="000627DE"/>
    <w:rsid w:val="000639CC"/>
    <w:rsid w:val="00063CF4"/>
    <w:rsid w:val="0006476C"/>
    <w:rsid w:val="00064834"/>
    <w:rsid w:val="00067487"/>
    <w:rsid w:val="00072050"/>
    <w:rsid w:val="000734FE"/>
    <w:rsid w:val="000962C5"/>
    <w:rsid w:val="00096F26"/>
    <w:rsid w:val="000A2D7B"/>
    <w:rsid w:val="000A2DB4"/>
    <w:rsid w:val="000A4CF1"/>
    <w:rsid w:val="000A6EB3"/>
    <w:rsid w:val="000B33B9"/>
    <w:rsid w:val="000B3E77"/>
    <w:rsid w:val="000B4088"/>
    <w:rsid w:val="000B5777"/>
    <w:rsid w:val="000B5BCF"/>
    <w:rsid w:val="000C5EDC"/>
    <w:rsid w:val="000C617D"/>
    <w:rsid w:val="000D061C"/>
    <w:rsid w:val="000D1CA1"/>
    <w:rsid w:val="000D5196"/>
    <w:rsid w:val="000E25E0"/>
    <w:rsid w:val="000E6013"/>
    <w:rsid w:val="000F6585"/>
    <w:rsid w:val="00105A90"/>
    <w:rsid w:val="00106A91"/>
    <w:rsid w:val="001118C1"/>
    <w:rsid w:val="00115478"/>
    <w:rsid w:val="00121ECD"/>
    <w:rsid w:val="001240FF"/>
    <w:rsid w:val="00124E69"/>
    <w:rsid w:val="00130733"/>
    <w:rsid w:val="00130BDA"/>
    <w:rsid w:val="00130E4D"/>
    <w:rsid w:val="00132979"/>
    <w:rsid w:val="00133F15"/>
    <w:rsid w:val="001411CF"/>
    <w:rsid w:val="00141667"/>
    <w:rsid w:val="00143158"/>
    <w:rsid w:val="0014532A"/>
    <w:rsid w:val="00152DE7"/>
    <w:rsid w:val="00152E3B"/>
    <w:rsid w:val="00155AF8"/>
    <w:rsid w:val="001561F4"/>
    <w:rsid w:val="00156C5B"/>
    <w:rsid w:val="00162C4C"/>
    <w:rsid w:val="001640C7"/>
    <w:rsid w:val="0017055B"/>
    <w:rsid w:val="00171B67"/>
    <w:rsid w:val="0018006F"/>
    <w:rsid w:val="00181C37"/>
    <w:rsid w:val="00184293"/>
    <w:rsid w:val="00185A2E"/>
    <w:rsid w:val="00186C1F"/>
    <w:rsid w:val="0018710B"/>
    <w:rsid w:val="00187354"/>
    <w:rsid w:val="0019493F"/>
    <w:rsid w:val="00196FB0"/>
    <w:rsid w:val="001A0D21"/>
    <w:rsid w:val="001A39BB"/>
    <w:rsid w:val="001A4A2C"/>
    <w:rsid w:val="001B2A52"/>
    <w:rsid w:val="001B5053"/>
    <w:rsid w:val="001B5954"/>
    <w:rsid w:val="001C2F57"/>
    <w:rsid w:val="001C432C"/>
    <w:rsid w:val="001C4C3C"/>
    <w:rsid w:val="001C6656"/>
    <w:rsid w:val="001C6A53"/>
    <w:rsid w:val="001D2703"/>
    <w:rsid w:val="001D31DF"/>
    <w:rsid w:val="001D36B1"/>
    <w:rsid w:val="001E3066"/>
    <w:rsid w:val="001E4217"/>
    <w:rsid w:val="001F15D0"/>
    <w:rsid w:val="001F4C78"/>
    <w:rsid w:val="0020340E"/>
    <w:rsid w:val="00204EE8"/>
    <w:rsid w:val="00205D6C"/>
    <w:rsid w:val="00205E34"/>
    <w:rsid w:val="0020718E"/>
    <w:rsid w:val="00210173"/>
    <w:rsid w:val="00215426"/>
    <w:rsid w:val="002179DD"/>
    <w:rsid w:val="0022034B"/>
    <w:rsid w:val="00221C70"/>
    <w:rsid w:val="00222972"/>
    <w:rsid w:val="002247FB"/>
    <w:rsid w:val="00231BAC"/>
    <w:rsid w:val="00232CA8"/>
    <w:rsid w:val="0023427F"/>
    <w:rsid w:val="0023442C"/>
    <w:rsid w:val="00235B16"/>
    <w:rsid w:val="00242885"/>
    <w:rsid w:val="00244C9C"/>
    <w:rsid w:val="00244EF3"/>
    <w:rsid w:val="002478B2"/>
    <w:rsid w:val="00252078"/>
    <w:rsid w:val="00254D01"/>
    <w:rsid w:val="00261E10"/>
    <w:rsid w:val="00266FF3"/>
    <w:rsid w:val="00267003"/>
    <w:rsid w:val="00267453"/>
    <w:rsid w:val="00285128"/>
    <w:rsid w:val="0028612E"/>
    <w:rsid w:val="00286E9D"/>
    <w:rsid w:val="00287B2C"/>
    <w:rsid w:val="00296CCC"/>
    <w:rsid w:val="002A3497"/>
    <w:rsid w:val="002C6A86"/>
    <w:rsid w:val="002C6B32"/>
    <w:rsid w:val="002C6CF6"/>
    <w:rsid w:val="002D194E"/>
    <w:rsid w:val="002D1D48"/>
    <w:rsid w:val="002D45CA"/>
    <w:rsid w:val="002E095F"/>
    <w:rsid w:val="002E6721"/>
    <w:rsid w:val="002E71C8"/>
    <w:rsid w:val="002F73EC"/>
    <w:rsid w:val="003014D9"/>
    <w:rsid w:val="00301BD0"/>
    <w:rsid w:val="00302801"/>
    <w:rsid w:val="003058E6"/>
    <w:rsid w:val="00307E56"/>
    <w:rsid w:val="0031593F"/>
    <w:rsid w:val="00317A48"/>
    <w:rsid w:val="00320BEC"/>
    <w:rsid w:val="00321A97"/>
    <w:rsid w:val="003243A2"/>
    <w:rsid w:val="00333DA7"/>
    <w:rsid w:val="003348F5"/>
    <w:rsid w:val="003377FD"/>
    <w:rsid w:val="003438E1"/>
    <w:rsid w:val="0034405B"/>
    <w:rsid w:val="003456A6"/>
    <w:rsid w:val="003537C1"/>
    <w:rsid w:val="003549A1"/>
    <w:rsid w:val="003578C4"/>
    <w:rsid w:val="00357BD6"/>
    <w:rsid w:val="00360095"/>
    <w:rsid w:val="00367F5F"/>
    <w:rsid w:val="00380300"/>
    <w:rsid w:val="00384B30"/>
    <w:rsid w:val="0039640E"/>
    <w:rsid w:val="003A2B58"/>
    <w:rsid w:val="003A2F54"/>
    <w:rsid w:val="003A35F9"/>
    <w:rsid w:val="003A36D1"/>
    <w:rsid w:val="003A540A"/>
    <w:rsid w:val="003A599E"/>
    <w:rsid w:val="003A785B"/>
    <w:rsid w:val="003B5C57"/>
    <w:rsid w:val="003C3292"/>
    <w:rsid w:val="003C3D3C"/>
    <w:rsid w:val="003C4B1A"/>
    <w:rsid w:val="003C57F0"/>
    <w:rsid w:val="003D130C"/>
    <w:rsid w:val="003D307B"/>
    <w:rsid w:val="003D32C6"/>
    <w:rsid w:val="003D42B7"/>
    <w:rsid w:val="003D6C57"/>
    <w:rsid w:val="003D7183"/>
    <w:rsid w:val="003E0C63"/>
    <w:rsid w:val="003E3F31"/>
    <w:rsid w:val="003E495D"/>
    <w:rsid w:val="003F0CF6"/>
    <w:rsid w:val="003F2DF2"/>
    <w:rsid w:val="003F5CD5"/>
    <w:rsid w:val="0040019F"/>
    <w:rsid w:val="00402411"/>
    <w:rsid w:val="004211D5"/>
    <w:rsid w:val="00421B5C"/>
    <w:rsid w:val="00423257"/>
    <w:rsid w:val="00424CDA"/>
    <w:rsid w:val="00425BEA"/>
    <w:rsid w:val="00426C8B"/>
    <w:rsid w:val="004313B5"/>
    <w:rsid w:val="00431F58"/>
    <w:rsid w:val="004324B4"/>
    <w:rsid w:val="00433C27"/>
    <w:rsid w:val="00435AE0"/>
    <w:rsid w:val="00435CFD"/>
    <w:rsid w:val="0043751E"/>
    <w:rsid w:val="004406C0"/>
    <w:rsid w:val="00443C7F"/>
    <w:rsid w:val="00443F31"/>
    <w:rsid w:val="00452437"/>
    <w:rsid w:val="004547C7"/>
    <w:rsid w:val="004701FB"/>
    <w:rsid w:val="00470B1C"/>
    <w:rsid w:val="00472CE1"/>
    <w:rsid w:val="0048159A"/>
    <w:rsid w:val="00481C2C"/>
    <w:rsid w:val="00482779"/>
    <w:rsid w:val="00482CDF"/>
    <w:rsid w:val="0048449E"/>
    <w:rsid w:val="00485178"/>
    <w:rsid w:val="00485E04"/>
    <w:rsid w:val="00486E87"/>
    <w:rsid w:val="004944AF"/>
    <w:rsid w:val="00497694"/>
    <w:rsid w:val="004A113E"/>
    <w:rsid w:val="004A1990"/>
    <w:rsid w:val="004A69BE"/>
    <w:rsid w:val="004B3BCB"/>
    <w:rsid w:val="004B4B88"/>
    <w:rsid w:val="004B59EC"/>
    <w:rsid w:val="004C63AC"/>
    <w:rsid w:val="004C7598"/>
    <w:rsid w:val="004C7BA7"/>
    <w:rsid w:val="004D3935"/>
    <w:rsid w:val="004D3DD5"/>
    <w:rsid w:val="004D6C69"/>
    <w:rsid w:val="004E0840"/>
    <w:rsid w:val="004E0DB0"/>
    <w:rsid w:val="004E1740"/>
    <w:rsid w:val="004E5099"/>
    <w:rsid w:val="004E5B5C"/>
    <w:rsid w:val="004F468C"/>
    <w:rsid w:val="0050040F"/>
    <w:rsid w:val="00504D78"/>
    <w:rsid w:val="0050655C"/>
    <w:rsid w:val="00506783"/>
    <w:rsid w:val="005104FB"/>
    <w:rsid w:val="005108C9"/>
    <w:rsid w:val="00511114"/>
    <w:rsid w:val="00520BD9"/>
    <w:rsid w:val="0052134F"/>
    <w:rsid w:val="005218B8"/>
    <w:rsid w:val="00525CAE"/>
    <w:rsid w:val="00525D31"/>
    <w:rsid w:val="00527820"/>
    <w:rsid w:val="005314EB"/>
    <w:rsid w:val="005339A0"/>
    <w:rsid w:val="005365F2"/>
    <w:rsid w:val="0053777A"/>
    <w:rsid w:val="00540691"/>
    <w:rsid w:val="00545719"/>
    <w:rsid w:val="00547833"/>
    <w:rsid w:val="00550E3D"/>
    <w:rsid w:val="00552615"/>
    <w:rsid w:val="00556A51"/>
    <w:rsid w:val="005578BF"/>
    <w:rsid w:val="00565DDC"/>
    <w:rsid w:val="00566758"/>
    <w:rsid w:val="00570C4C"/>
    <w:rsid w:val="00572C1C"/>
    <w:rsid w:val="00573971"/>
    <w:rsid w:val="005814B0"/>
    <w:rsid w:val="00582593"/>
    <w:rsid w:val="0058376A"/>
    <w:rsid w:val="005839CA"/>
    <w:rsid w:val="005855A7"/>
    <w:rsid w:val="00587A83"/>
    <w:rsid w:val="00590163"/>
    <w:rsid w:val="00592CD5"/>
    <w:rsid w:val="0059321E"/>
    <w:rsid w:val="00594BE0"/>
    <w:rsid w:val="00597084"/>
    <w:rsid w:val="005A2D4F"/>
    <w:rsid w:val="005A42F4"/>
    <w:rsid w:val="005B15F1"/>
    <w:rsid w:val="005B2F7A"/>
    <w:rsid w:val="005B4B25"/>
    <w:rsid w:val="005B5EE8"/>
    <w:rsid w:val="005C19FC"/>
    <w:rsid w:val="005D0FA3"/>
    <w:rsid w:val="005D1C87"/>
    <w:rsid w:val="005D2F41"/>
    <w:rsid w:val="005D2F45"/>
    <w:rsid w:val="005D59FB"/>
    <w:rsid w:val="005D5B57"/>
    <w:rsid w:val="005D5FB4"/>
    <w:rsid w:val="005E0B43"/>
    <w:rsid w:val="005E5030"/>
    <w:rsid w:val="005E70F4"/>
    <w:rsid w:val="005F02C0"/>
    <w:rsid w:val="005F142C"/>
    <w:rsid w:val="005F1FC6"/>
    <w:rsid w:val="005F2B6F"/>
    <w:rsid w:val="005F2DEC"/>
    <w:rsid w:val="0060281F"/>
    <w:rsid w:val="00612D60"/>
    <w:rsid w:val="006153C7"/>
    <w:rsid w:val="00625236"/>
    <w:rsid w:val="00625FB7"/>
    <w:rsid w:val="00632CE6"/>
    <w:rsid w:val="00632E21"/>
    <w:rsid w:val="00634658"/>
    <w:rsid w:val="00634EB0"/>
    <w:rsid w:val="00634EF1"/>
    <w:rsid w:val="00635B3D"/>
    <w:rsid w:val="006363AD"/>
    <w:rsid w:val="00636810"/>
    <w:rsid w:val="006376FB"/>
    <w:rsid w:val="0063793D"/>
    <w:rsid w:val="006414DF"/>
    <w:rsid w:val="00641F55"/>
    <w:rsid w:val="0064363D"/>
    <w:rsid w:val="00643EBD"/>
    <w:rsid w:val="00653AC6"/>
    <w:rsid w:val="0065409D"/>
    <w:rsid w:val="00655E16"/>
    <w:rsid w:val="006565F7"/>
    <w:rsid w:val="00656CF7"/>
    <w:rsid w:val="00666402"/>
    <w:rsid w:val="006664BD"/>
    <w:rsid w:val="00673AAB"/>
    <w:rsid w:val="00674559"/>
    <w:rsid w:val="00674D21"/>
    <w:rsid w:val="00675DEF"/>
    <w:rsid w:val="00680798"/>
    <w:rsid w:val="00681058"/>
    <w:rsid w:val="00686780"/>
    <w:rsid w:val="006950F3"/>
    <w:rsid w:val="00697A3C"/>
    <w:rsid w:val="006A6213"/>
    <w:rsid w:val="006B005E"/>
    <w:rsid w:val="006B4FB1"/>
    <w:rsid w:val="006B67F2"/>
    <w:rsid w:val="006C14C1"/>
    <w:rsid w:val="006C336D"/>
    <w:rsid w:val="006C402C"/>
    <w:rsid w:val="006D03FD"/>
    <w:rsid w:val="006D1651"/>
    <w:rsid w:val="006D70F9"/>
    <w:rsid w:val="006F690B"/>
    <w:rsid w:val="0070147C"/>
    <w:rsid w:val="00703F07"/>
    <w:rsid w:val="00704496"/>
    <w:rsid w:val="00706704"/>
    <w:rsid w:val="00706A2D"/>
    <w:rsid w:val="00714074"/>
    <w:rsid w:val="00720776"/>
    <w:rsid w:val="00721205"/>
    <w:rsid w:val="00726330"/>
    <w:rsid w:val="00726966"/>
    <w:rsid w:val="0073406D"/>
    <w:rsid w:val="00735CC7"/>
    <w:rsid w:val="00743D9D"/>
    <w:rsid w:val="0074442D"/>
    <w:rsid w:val="00746A9D"/>
    <w:rsid w:val="00751684"/>
    <w:rsid w:val="00751D6C"/>
    <w:rsid w:val="007529D4"/>
    <w:rsid w:val="007567EC"/>
    <w:rsid w:val="00760290"/>
    <w:rsid w:val="00762CFB"/>
    <w:rsid w:val="00764F99"/>
    <w:rsid w:val="0077024B"/>
    <w:rsid w:val="00775ABE"/>
    <w:rsid w:val="007763CA"/>
    <w:rsid w:val="007817A7"/>
    <w:rsid w:val="0078412E"/>
    <w:rsid w:val="0078664A"/>
    <w:rsid w:val="00787641"/>
    <w:rsid w:val="00796A64"/>
    <w:rsid w:val="007974D5"/>
    <w:rsid w:val="007A11CD"/>
    <w:rsid w:val="007A6E65"/>
    <w:rsid w:val="007A76BC"/>
    <w:rsid w:val="007B1C3F"/>
    <w:rsid w:val="007B3177"/>
    <w:rsid w:val="007B3383"/>
    <w:rsid w:val="007B4AC7"/>
    <w:rsid w:val="007C03B6"/>
    <w:rsid w:val="007C292E"/>
    <w:rsid w:val="007C6600"/>
    <w:rsid w:val="007D2DBE"/>
    <w:rsid w:val="007D50A1"/>
    <w:rsid w:val="007E062C"/>
    <w:rsid w:val="007E06D2"/>
    <w:rsid w:val="007E0B73"/>
    <w:rsid w:val="007E1296"/>
    <w:rsid w:val="007E2B3E"/>
    <w:rsid w:val="007E6555"/>
    <w:rsid w:val="007E7961"/>
    <w:rsid w:val="007F00CB"/>
    <w:rsid w:val="007F19D1"/>
    <w:rsid w:val="008022FE"/>
    <w:rsid w:val="00804063"/>
    <w:rsid w:val="00804A6A"/>
    <w:rsid w:val="00812F95"/>
    <w:rsid w:val="00821957"/>
    <w:rsid w:val="008323EE"/>
    <w:rsid w:val="00833111"/>
    <w:rsid w:val="00837EA3"/>
    <w:rsid w:val="00845390"/>
    <w:rsid w:val="00846F2A"/>
    <w:rsid w:val="008511F7"/>
    <w:rsid w:val="0085250D"/>
    <w:rsid w:val="00860899"/>
    <w:rsid w:val="00862ED0"/>
    <w:rsid w:val="0086331F"/>
    <w:rsid w:val="00864A52"/>
    <w:rsid w:val="00865ADF"/>
    <w:rsid w:val="0088076A"/>
    <w:rsid w:val="00890059"/>
    <w:rsid w:val="00892D39"/>
    <w:rsid w:val="0089397F"/>
    <w:rsid w:val="008A119F"/>
    <w:rsid w:val="008A2A57"/>
    <w:rsid w:val="008A3B7F"/>
    <w:rsid w:val="008A6EC7"/>
    <w:rsid w:val="008B55B0"/>
    <w:rsid w:val="008B64CA"/>
    <w:rsid w:val="008B743F"/>
    <w:rsid w:val="008C4F17"/>
    <w:rsid w:val="008C67BB"/>
    <w:rsid w:val="008F2BDF"/>
    <w:rsid w:val="008F4834"/>
    <w:rsid w:val="008F6A38"/>
    <w:rsid w:val="009103E3"/>
    <w:rsid w:val="00913186"/>
    <w:rsid w:val="00920188"/>
    <w:rsid w:val="00920FE9"/>
    <w:rsid w:val="0092521F"/>
    <w:rsid w:val="0093775E"/>
    <w:rsid w:val="00937BF5"/>
    <w:rsid w:val="00937D7E"/>
    <w:rsid w:val="00941D7A"/>
    <w:rsid w:val="00942B2F"/>
    <w:rsid w:val="009447EA"/>
    <w:rsid w:val="0094600F"/>
    <w:rsid w:val="00946379"/>
    <w:rsid w:val="009575CC"/>
    <w:rsid w:val="00964387"/>
    <w:rsid w:val="009678DB"/>
    <w:rsid w:val="00971437"/>
    <w:rsid w:val="009750E4"/>
    <w:rsid w:val="009825E3"/>
    <w:rsid w:val="00982648"/>
    <w:rsid w:val="00982F19"/>
    <w:rsid w:val="00984446"/>
    <w:rsid w:val="00984D6A"/>
    <w:rsid w:val="009856FB"/>
    <w:rsid w:val="00993218"/>
    <w:rsid w:val="009947CC"/>
    <w:rsid w:val="009956A2"/>
    <w:rsid w:val="009A1AA3"/>
    <w:rsid w:val="009B3330"/>
    <w:rsid w:val="009B71DE"/>
    <w:rsid w:val="009C07FF"/>
    <w:rsid w:val="009C15BC"/>
    <w:rsid w:val="009C25DA"/>
    <w:rsid w:val="009C2F1C"/>
    <w:rsid w:val="009C3342"/>
    <w:rsid w:val="009D0D59"/>
    <w:rsid w:val="009D4A74"/>
    <w:rsid w:val="009E1FBF"/>
    <w:rsid w:val="009E29D3"/>
    <w:rsid w:val="009E51B5"/>
    <w:rsid w:val="009F7644"/>
    <w:rsid w:val="00A0452E"/>
    <w:rsid w:val="00A052C1"/>
    <w:rsid w:val="00A07526"/>
    <w:rsid w:val="00A07F41"/>
    <w:rsid w:val="00A12962"/>
    <w:rsid w:val="00A13C2D"/>
    <w:rsid w:val="00A176DC"/>
    <w:rsid w:val="00A2307E"/>
    <w:rsid w:val="00A26B04"/>
    <w:rsid w:val="00A30229"/>
    <w:rsid w:val="00A30DA9"/>
    <w:rsid w:val="00A3155B"/>
    <w:rsid w:val="00A32459"/>
    <w:rsid w:val="00A336D1"/>
    <w:rsid w:val="00A376FC"/>
    <w:rsid w:val="00A43A7F"/>
    <w:rsid w:val="00A45036"/>
    <w:rsid w:val="00A50C6B"/>
    <w:rsid w:val="00A511E0"/>
    <w:rsid w:val="00A536E3"/>
    <w:rsid w:val="00A6362F"/>
    <w:rsid w:val="00A63A0B"/>
    <w:rsid w:val="00A71BA2"/>
    <w:rsid w:val="00A763BC"/>
    <w:rsid w:val="00A76C3F"/>
    <w:rsid w:val="00A8135F"/>
    <w:rsid w:val="00A82FA5"/>
    <w:rsid w:val="00A86204"/>
    <w:rsid w:val="00A91853"/>
    <w:rsid w:val="00AA4D33"/>
    <w:rsid w:val="00AA5CC7"/>
    <w:rsid w:val="00AA6B7B"/>
    <w:rsid w:val="00AA7BC8"/>
    <w:rsid w:val="00AB3495"/>
    <w:rsid w:val="00AB644C"/>
    <w:rsid w:val="00AC0F66"/>
    <w:rsid w:val="00AC267B"/>
    <w:rsid w:val="00AC2FB0"/>
    <w:rsid w:val="00AC380D"/>
    <w:rsid w:val="00AC512E"/>
    <w:rsid w:val="00AC59A1"/>
    <w:rsid w:val="00AC69CF"/>
    <w:rsid w:val="00AD5EC0"/>
    <w:rsid w:val="00AE35D3"/>
    <w:rsid w:val="00AE45F5"/>
    <w:rsid w:val="00AF5D14"/>
    <w:rsid w:val="00B037B1"/>
    <w:rsid w:val="00B038F4"/>
    <w:rsid w:val="00B11D41"/>
    <w:rsid w:val="00B1352F"/>
    <w:rsid w:val="00B143BB"/>
    <w:rsid w:val="00B15E9C"/>
    <w:rsid w:val="00B203D0"/>
    <w:rsid w:val="00B21712"/>
    <w:rsid w:val="00B2180A"/>
    <w:rsid w:val="00B221A5"/>
    <w:rsid w:val="00B25BA4"/>
    <w:rsid w:val="00B351A7"/>
    <w:rsid w:val="00B365F7"/>
    <w:rsid w:val="00B37035"/>
    <w:rsid w:val="00B37F5E"/>
    <w:rsid w:val="00B43E63"/>
    <w:rsid w:val="00B4508F"/>
    <w:rsid w:val="00B47604"/>
    <w:rsid w:val="00B55E72"/>
    <w:rsid w:val="00B57BB6"/>
    <w:rsid w:val="00B61ED0"/>
    <w:rsid w:val="00B621B3"/>
    <w:rsid w:val="00B625C1"/>
    <w:rsid w:val="00B6501B"/>
    <w:rsid w:val="00B66092"/>
    <w:rsid w:val="00B6731C"/>
    <w:rsid w:val="00B72AB8"/>
    <w:rsid w:val="00B76788"/>
    <w:rsid w:val="00B768B8"/>
    <w:rsid w:val="00B77140"/>
    <w:rsid w:val="00B80E79"/>
    <w:rsid w:val="00B80EE5"/>
    <w:rsid w:val="00B82DE5"/>
    <w:rsid w:val="00B83D29"/>
    <w:rsid w:val="00B86F82"/>
    <w:rsid w:val="00B87449"/>
    <w:rsid w:val="00B94485"/>
    <w:rsid w:val="00B94E52"/>
    <w:rsid w:val="00BA2EA8"/>
    <w:rsid w:val="00BA4014"/>
    <w:rsid w:val="00BB0A20"/>
    <w:rsid w:val="00BB4EBF"/>
    <w:rsid w:val="00BB5E93"/>
    <w:rsid w:val="00BC39CC"/>
    <w:rsid w:val="00BD3CFA"/>
    <w:rsid w:val="00BE08F9"/>
    <w:rsid w:val="00BE5004"/>
    <w:rsid w:val="00BF1BA1"/>
    <w:rsid w:val="00BF3733"/>
    <w:rsid w:val="00BF62AD"/>
    <w:rsid w:val="00C030C6"/>
    <w:rsid w:val="00C04B64"/>
    <w:rsid w:val="00C067A3"/>
    <w:rsid w:val="00C06D14"/>
    <w:rsid w:val="00C07264"/>
    <w:rsid w:val="00C10EAB"/>
    <w:rsid w:val="00C158F0"/>
    <w:rsid w:val="00C231AE"/>
    <w:rsid w:val="00C25DB6"/>
    <w:rsid w:val="00C3125F"/>
    <w:rsid w:val="00C41406"/>
    <w:rsid w:val="00C42021"/>
    <w:rsid w:val="00C422D6"/>
    <w:rsid w:val="00C42FED"/>
    <w:rsid w:val="00C45A51"/>
    <w:rsid w:val="00C53D59"/>
    <w:rsid w:val="00C5465F"/>
    <w:rsid w:val="00C607C5"/>
    <w:rsid w:val="00C60D5B"/>
    <w:rsid w:val="00C63801"/>
    <w:rsid w:val="00C64537"/>
    <w:rsid w:val="00C64F6B"/>
    <w:rsid w:val="00C750D3"/>
    <w:rsid w:val="00C75BD0"/>
    <w:rsid w:val="00C76196"/>
    <w:rsid w:val="00C76218"/>
    <w:rsid w:val="00C76A11"/>
    <w:rsid w:val="00C800AB"/>
    <w:rsid w:val="00C81BD0"/>
    <w:rsid w:val="00C84AF8"/>
    <w:rsid w:val="00C84B01"/>
    <w:rsid w:val="00C85BE0"/>
    <w:rsid w:val="00C90CDC"/>
    <w:rsid w:val="00C91E92"/>
    <w:rsid w:val="00C965E9"/>
    <w:rsid w:val="00C96CE2"/>
    <w:rsid w:val="00CA2D6C"/>
    <w:rsid w:val="00CA339C"/>
    <w:rsid w:val="00CA4200"/>
    <w:rsid w:val="00CA5E45"/>
    <w:rsid w:val="00CB44D7"/>
    <w:rsid w:val="00CB6181"/>
    <w:rsid w:val="00CB72DF"/>
    <w:rsid w:val="00CB7A3B"/>
    <w:rsid w:val="00CC0345"/>
    <w:rsid w:val="00CC0FFD"/>
    <w:rsid w:val="00CC26E9"/>
    <w:rsid w:val="00CC342F"/>
    <w:rsid w:val="00CC5076"/>
    <w:rsid w:val="00CC63A7"/>
    <w:rsid w:val="00CC7EDA"/>
    <w:rsid w:val="00CD0684"/>
    <w:rsid w:val="00CD1245"/>
    <w:rsid w:val="00CD190D"/>
    <w:rsid w:val="00CD6EA6"/>
    <w:rsid w:val="00CD762A"/>
    <w:rsid w:val="00CF0497"/>
    <w:rsid w:val="00CF5730"/>
    <w:rsid w:val="00D01A0C"/>
    <w:rsid w:val="00D054DE"/>
    <w:rsid w:val="00D11547"/>
    <w:rsid w:val="00D1162D"/>
    <w:rsid w:val="00D11ECB"/>
    <w:rsid w:val="00D12A67"/>
    <w:rsid w:val="00D12DC4"/>
    <w:rsid w:val="00D13071"/>
    <w:rsid w:val="00D143BF"/>
    <w:rsid w:val="00D17065"/>
    <w:rsid w:val="00D20A15"/>
    <w:rsid w:val="00D22897"/>
    <w:rsid w:val="00D232CA"/>
    <w:rsid w:val="00D24E71"/>
    <w:rsid w:val="00D26BA1"/>
    <w:rsid w:val="00D27347"/>
    <w:rsid w:val="00D32EE6"/>
    <w:rsid w:val="00D33648"/>
    <w:rsid w:val="00D339B3"/>
    <w:rsid w:val="00D36B99"/>
    <w:rsid w:val="00D43F55"/>
    <w:rsid w:val="00D52A5C"/>
    <w:rsid w:val="00D52FC8"/>
    <w:rsid w:val="00D5316A"/>
    <w:rsid w:val="00D53B72"/>
    <w:rsid w:val="00D53CE8"/>
    <w:rsid w:val="00D54D0E"/>
    <w:rsid w:val="00D576D7"/>
    <w:rsid w:val="00D63BC1"/>
    <w:rsid w:val="00D70882"/>
    <w:rsid w:val="00D73315"/>
    <w:rsid w:val="00D73390"/>
    <w:rsid w:val="00D73905"/>
    <w:rsid w:val="00D7585E"/>
    <w:rsid w:val="00D82A38"/>
    <w:rsid w:val="00D83470"/>
    <w:rsid w:val="00D8440C"/>
    <w:rsid w:val="00D877C5"/>
    <w:rsid w:val="00D91838"/>
    <w:rsid w:val="00D9777C"/>
    <w:rsid w:val="00D9790B"/>
    <w:rsid w:val="00DA627E"/>
    <w:rsid w:val="00DB1C78"/>
    <w:rsid w:val="00DB3C76"/>
    <w:rsid w:val="00DC0A9E"/>
    <w:rsid w:val="00DC136C"/>
    <w:rsid w:val="00DC162E"/>
    <w:rsid w:val="00DD0765"/>
    <w:rsid w:val="00DD369A"/>
    <w:rsid w:val="00DD5A40"/>
    <w:rsid w:val="00DE0060"/>
    <w:rsid w:val="00DE7D05"/>
    <w:rsid w:val="00DF142E"/>
    <w:rsid w:val="00DF1AF8"/>
    <w:rsid w:val="00DF49A4"/>
    <w:rsid w:val="00DF710D"/>
    <w:rsid w:val="00DF71EB"/>
    <w:rsid w:val="00DF71FF"/>
    <w:rsid w:val="00E000E6"/>
    <w:rsid w:val="00E00C27"/>
    <w:rsid w:val="00E062DB"/>
    <w:rsid w:val="00E0761E"/>
    <w:rsid w:val="00E16025"/>
    <w:rsid w:val="00E16635"/>
    <w:rsid w:val="00E16CA1"/>
    <w:rsid w:val="00E21746"/>
    <w:rsid w:val="00E26029"/>
    <w:rsid w:val="00E307A5"/>
    <w:rsid w:val="00E43C78"/>
    <w:rsid w:val="00E46160"/>
    <w:rsid w:val="00E4616E"/>
    <w:rsid w:val="00E5169F"/>
    <w:rsid w:val="00E541E5"/>
    <w:rsid w:val="00E55963"/>
    <w:rsid w:val="00E55D17"/>
    <w:rsid w:val="00E6000E"/>
    <w:rsid w:val="00E653D2"/>
    <w:rsid w:val="00E67C63"/>
    <w:rsid w:val="00E7029A"/>
    <w:rsid w:val="00E764E4"/>
    <w:rsid w:val="00E81440"/>
    <w:rsid w:val="00E872A9"/>
    <w:rsid w:val="00E96E33"/>
    <w:rsid w:val="00E97009"/>
    <w:rsid w:val="00EA4F62"/>
    <w:rsid w:val="00EB0579"/>
    <w:rsid w:val="00EB13C0"/>
    <w:rsid w:val="00EB162B"/>
    <w:rsid w:val="00EB27C6"/>
    <w:rsid w:val="00EB456C"/>
    <w:rsid w:val="00EB5D09"/>
    <w:rsid w:val="00EC29A9"/>
    <w:rsid w:val="00EC3C4C"/>
    <w:rsid w:val="00EC5D8C"/>
    <w:rsid w:val="00ED0F38"/>
    <w:rsid w:val="00ED2A38"/>
    <w:rsid w:val="00ED4305"/>
    <w:rsid w:val="00EE11B7"/>
    <w:rsid w:val="00EE182C"/>
    <w:rsid w:val="00EE41CC"/>
    <w:rsid w:val="00EE4413"/>
    <w:rsid w:val="00EF4E65"/>
    <w:rsid w:val="00F00926"/>
    <w:rsid w:val="00F075A6"/>
    <w:rsid w:val="00F11B55"/>
    <w:rsid w:val="00F163BE"/>
    <w:rsid w:val="00F1777E"/>
    <w:rsid w:val="00F17814"/>
    <w:rsid w:val="00F20DCF"/>
    <w:rsid w:val="00F222DC"/>
    <w:rsid w:val="00F22A42"/>
    <w:rsid w:val="00F2301B"/>
    <w:rsid w:val="00F25232"/>
    <w:rsid w:val="00F259AE"/>
    <w:rsid w:val="00F26418"/>
    <w:rsid w:val="00F26748"/>
    <w:rsid w:val="00F30AFB"/>
    <w:rsid w:val="00F318E7"/>
    <w:rsid w:val="00F325A9"/>
    <w:rsid w:val="00F326AD"/>
    <w:rsid w:val="00F336B0"/>
    <w:rsid w:val="00F418F7"/>
    <w:rsid w:val="00F42053"/>
    <w:rsid w:val="00F478DD"/>
    <w:rsid w:val="00F5045C"/>
    <w:rsid w:val="00F6234A"/>
    <w:rsid w:val="00F6483C"/>
    <w:rsid w:val="00F64B60"/>
    <w:rsid w:val="00F71558"/>
    <w:rsid w:val="00F7168C"/>
    <w:rsid w:val="00F743F2"/>
    <w:rsid w:val="00F75D0B"/>
    <w:rsid w:val="00F7741B"/>
    <w:rsid w:val="00F83263"/>
    <w:rsid w:val="00F87076"/>
    <w:rsid w:val="00F945C5"/>
    <w:rsid w:val="00F94BE9"/>
    <w:rsid w:val="00F94E8A"/>
    <w:rsid w:val="00F96D24"/>
    <w:rsid w:val="00F97724"/>
    <w:rsid w:val="00FA063E"/>
    <w:rsid w:val="00FA16D9"/>
    <w:rsid w:val="00FA1E17"/>
    <w:rsid w:val="00FA207C"/>
    <w:rsid w:val="00FA452C"/>
    <w:rsid w:val="00FA7FED"/>
    <w:rsid w:val="00FB4C88"/>
    <w:rsid w:val="00FB66BB"/>
    <w:rsid w:val="00FC1B5E"/>
    <w:rsid w:val="00FC2C65"/>
    <w:rsid w:val="00FC6755"/>
    <w:rsid w:val="00FD1455"/>
    <w:rsid w:val="00FD2E08"/>
    <w:rsid w:val="00FE4A9C"/>
    <w:rsid w:val="00FF04EA"/>
    <w:rsid w:val="00FF1344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B15F1"/>
    <w:pPr>
      <w:spacing w:after="0" w:line="240" w:lineRule="auto"/>
      <w:outlineLvl w:val="1"/>
    </w:pPr>
    <w:rPr>
      <w:rFonts w:ascii="Arial" w:eastAsia="Times New Roman" w:hAnsi="Arial" w:cs="Arial"/>
      <w:b/>
      <w:bCs/>
      <w:color w:val="336699"/>
      <w:sz w:val="15"/>
      <w:szCs w:val="15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1F"/>
  </w:style>
  <w:style w:type="paragraph" w:styleId="Footer">
    <w:name w:val="footer"/>
    <w:basedOn w:val="Normal"/>
    <w:link w:val="Foot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F"/>
  </w:style>
  <w:style w:type="paragraph" w:styleId="NoSpacing">
    <w:name w:val="No Spacing"/>
    <w:link w:val="NoSpacingChar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BodyText2Char"/>
    <w:rsid w:val="00F87076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F87076"/>
    <w:rPr>
      <w:rFonts w:ascii="Arial" w:eastAsia="Times New Roman" w:hAnsi="Arial"/>
      <w:sz w:val="24"/>
    </w:rPr>
  </w:style>
  <w:style w:type="paragraph" w:styleId="ListParagraph">
    <w:name w:val="List Paragraph"/>
    <w:basedOn w:val="Normal"/>
    <w:uiPriority w:val="34"/>
    <w:qFormat/>
    <w:rsid w:val="00F87076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73406D"/>
    <w:pPr>
      <w:spacing w:after="0" w:line="270" w:lineRule="atLeast"/>
    </w:pPr>
    <w:rPr>
      <w:rFonts w:ascii="Tahoma" w:eastAsia="Times New Roman" w:hAnsi="Tahoma" w:cs="Tahoma"/>
      <w:color w:val="666666"/>
      <w:sz w:val="17"/>
      <w:szCs w:val="17"/>
      <w:lang w:eastAsia="pl-PL"/>
    </w:rPr>
  </w:style>
  <w:style w:type="character" w:styleId="Strong">
    <w:name w:val="Strong"/>
    <w:basedOn w:val="DefaultParagraphFont"/>
    <w:uiPriority w:val="22"/>
    <w:qFormat/>
    <w:rsid w:val="0073406D"/>
    <w:rPr>
      <w:b/>
      <w:bCs/>
    </w:rPr>
  </w:style>
  <w:style w:type="table" w:styleId="TableGrid">
    <w:name w:val="Table Grid"/>
    <w:basedOn w:val="TableNormal"/>
    <w:uiPriority w:val="59"/>
    <w:rsid w:val="00734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4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418"/>
    <w:rPr>
      <w:b/>
      <w:bCs/>
      <w:lang w:eastAsia="en-US"/>
    </w:rPr>
  </w:style>
  <w:style w:type="character" w:styleId="Hyperlink">
    <w:name w:val="Hyperlink"/>
    <w:basedOn w:val="DefaultParagraphFont"/>
    <w:rsid w:val="003D32C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15F1"/>
    <w:rPr>
      <w:rFonts w:ascii="Arial" w:eastAsia="Times New Roman" w:hAnsi="Arial" w:cs="Arial"/>
      <w:b/>
      <w:bCs/>
      <w:color w:val="336699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AE35D3"/>
    <w:rPr>
      <w:i/>
      <w:i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73A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673AA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73A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B15F1"/>
    <w:pPr>
      <w:spacing w:after="0" w:line="240" w:lineRule="auto"/>
      <w:outlineLvl w:val="1"/>
    </w:pPr>
    <w:rPr>
      <w:rFonts w:ascii="Arial" w:eastAsia="Times New Roman" w:hAnsi="Arial" w:cs="Arial"/>
      <w:b/>
      <w:bCs/>
      <w:color w:val="336699"/>
      <w:sz w:val="15"/>
      <w:szCs w:val="15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1F"/>
  </w:style>
  <w:style w:type="paragraph" w:styleId="Footer">
    <w:name w:val="footer"/>
    <w:basedOn w:val="Normal"/>
    <w:link w:val="Foot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F"/>
  </w:style>
  <w:style w:type="paragraph" w:styleId="NoSpacing">
    <w:name w:val="No Spacing"/>
    <w:link w:val="NoSpacingChar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BodyText2Char"/>
    <w:rsid w:val="00F87076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F87076"/>
    <w:rPr>
      <w:rFonts w:ascii="Arial" w:eastAsia="Times New Roman" w:hAnsi="Arial"/>
      <w:sz w:val="24"/>
    </w:rPr>
  </w:style>
  <w:style w:type="paragraph" w:styleId="ListParagraph">
    <w:name w:val="List Paragraph"/>
    <w:basedOn w:val="Normal"/>
    <w:uiPriority w:val="34"/>
    <w:qFormat/>
    <w:rsid w:val="00F87076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73406D"/>
    <w:pPr>
      <w:spacing w:after="0" w:line="270" w:lineRule="atLeast"/>
    </w:pPr>
    <w:rPr>
      <w:rFonts w:ascii="Tahoma" w:eastAsia="Times New Roman" w:hAnsi="Tahoma" w:cs="Tahoma"/>
      <w:color w:val="666666"/>
      <w:sz w:val="17"/>
      <w:szCs w:val="17"/>
      <w:lang w:eastAsia="pl-PL"/>
    </w:rPr>
  </w:style>
  <w:style w:type="character" w:styleId="Strong">
    <w:name w:val="Strong"/>
    <w:basedOn w:val="DefaultParagraphFont"/>
    <w:uiPriority w:val="22"/>
    <w:qFormat/>
    <w:rsid w:val="0073406D"/>
    <w:rPr>
      <w:b/>
      <w:bCs/>
    </w:rPr>
  </w:style>
  <w:style w:type="table" w:styleId="TableGrid">
    <w:name w:val="Table Grid"/>
    <w:basedOn w:val="TableNormal"/>
    <w:uiPriority w:val="59"/>
    <w:rsid w:val="00734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4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418"/>
    <w:rPr>
      <w:b/>
      <w:bCs/>
      <w:lang w:eastAsia="en-US"/>
    </w:rPr>
  </w:style>
  <w:style w:type="character" w:styleId="Hyperlink">
    <w:name w:val="Hyperlink"/>
    <w:basedOn w:val="DefaultParagraphFont"/>
    <w:rsid w:val="003D32C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15F1"/>
    <w:rPr>
      <w:rFonts w:ascii="Arial" w:eastAsia="Times New Roman" w:hAnsi="Arial" w:cs="Arial"/>
      <w:b/>
      <w:bCs/>
      <w:color w:val="336699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AE35D3"/>
    <w:rPr>
      <w:i/>
      <w:i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73A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673AA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7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9147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1" w:color="EDF2F7"/>
                        <w:left w:val="single" w:sz="6" w:space="11" w:color="EDF2F7"/>
                        <w:bottom w:val="single" w:sz="6" w:space="11" w:color="EDF2F7"/>
                        <w:right w:val="single" w:sz="6" w:space="11" w:color="EDF2F7"/>
                      </w:divBdr>
                      <w:divsChild>
                        <w:div w:id="13580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2391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7117">
                  <w:marLeft w:val="0"/>
                  <w:marRight w:val="0"/>
                  <w:marTop w:val="0"/>
                  <w:marBottom w:val="136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  <w:divsChild>
                    <w:div w:id="6510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4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36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1" w:color="EDF2F7"/>
                        <w:left w:val="single" w:sz="6" w:space="11" w:color="EDF2F7"/>
                        <w:bottom w:val="single" w:sz="6" w:space="11" w:color="EDF2F7"/>
                        <w:right w:val="single" w:sz="6" w:space="11" w:color="EDF2F7"/>
                      </w:divBdr>
                      <w:divsChild>
                        <w:div w:id="16710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884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1" w:color="EDF2F7"/>
                        <w:left w:val="single" w:sz="6" w:space="11" w:color="EDF2F7"/>
                        <w:bottom w:val="single" w:sz="6" w:space="11" w:color="EDF2F7"/>
                        <w:right w:val="single" w:sz="6" w:space="11" w:color="EDF2F7"/>
                      </w:divBdr>
                      <w:divsChild>
                        <w:div w:id="937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6243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1" w:color="EDF2F7"/>
                        <w:left w:val="single" w:sz="6" w:space="11" w:color="EDF2F7"/>
                        <w:bottom w:val="single" w:sz="6" w:space="11" w:color="EDF2F7"/>
                        <w:right w:val="single" w:sz="6" w:space="11" w:color="EDF2F7"/>
                      </w:divBdr>
                      <w:divsChild>
                        <w:div w:id="20252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4770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1" w:color="EDF2F7"/>
                        <w:left w:val="single" w:sz="6" w:space="11" w:color="EDF2F7"/>
                        <w:bottom w:val="single" w:sz="6" w:space="11" w:color="EDF2F7"/>
                        <w:right w:val="single" w:sz="6" w:space="11" w:color="EDF2F7"/>
                      </w:divBdr>
                      <w:divsChild>
                        <w:div w:id="125851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ta.grajeta@gpw.pl" TargetMode="External"/><Relationship Id="rId2" Type="http://schemas.openxmlformats.org/officeDocument/2006/relationships/hyperlink" Target="mailto:bartlomiej.eider@gpw.pl" TargetMode="External"/><Relationship Id="rId1" Type="http://schemas.openxmlformats.org/officeDocument/2006/relationships/hyperlink" Target="mailto:press@gpw.pl" TargetMode="External"/><Relationship Id="rId5" Type="http://schemas.openxmlformats.org/officeDocument/2006/relationships/hyperlink" Target="mailto:wojciech.konefal@gpw.pl" TargetMode="External"/><Relationship Id="rId4" Type="http://schemas.openxmlformats.org/officeDocument/2006/relationships/hyperlink" Target="mailto:olga.chadzenska@gpw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ta.grajeta@gpw.pl" TargetMode="External"/><Relationship Id="rId2" Type="http://schemas.openxmlformats.org/officeDocument/2006/relationships/hyperlink" Target="mailto:bartlomiej.eider@gpw.pl" TargetMode="External"/><Relationship Id="rId1" Type="http://schemas.openxmlformats.org/officeDocument/2006/relationships/hyperlink" Target="mailto:press@gpw.pl" TargetMode="External"/><Relationship Id="rId5" Type="http://schemas.openxmlformats.org/officeDocument/2006/relationships/hyperlink" Target="mailto:wojciech.konefal@gpw.pl" TargetMode="External"/><Relationship Id="rId4" Type="http://schemas.openxmlformats.org/officeDocument/2006/relationships/hyperlink" Target="mailto:olga.chadzenska@gp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arcin.kwasniewski.GPW\Pulpit\Statystyki%20pochodne\Polskie\Wykresy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arcin.kwasniewski.GPW\Pulpit\Statystyki%20pochodne\Polskie\Wykres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Arkusz2!$K$33:$Z$33</c:f>
              <c:strCache>
                <c:ptCount val="1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 I-X</c:v>
                </c:pt>
              </c:strCache>
            </c:strRef>
          </c:cat>
          <c:val>
            <c:numRef>
              <c:f>Arkusz2!$K$34:$Z$34</c:f>
              <c:numCache>
                <c:formatCode>#,##0.00</c:formatCode>
                <c:ptCount val="16"/>
                <c:pt idx="0">
                  <c:v>2.4367999999999997E-2</c:v>
                </c:pt>
                <c:pt idx="1">
                  <c:v>0.20810100000000001</c:v>
                </c:pt>
                <c:pt idx="2">
                  <c:v>1.5160419999999999</c:v>
                </c:pt>
                <c:pt idx="3">
                  <c:v>3.7771970000000072</c:v>
                </c:pt>
                <c:pt idx="4">
                  <c:v>3.420909</c:v>
                </c:pt>
                <c:pt idx="5">
                  <c:v>4.3850549999999879</c:v>
                </c:pt>
                <c:pt idx="6">
                  <c:v>3.7335170000000057</c:v>
                </c:pt>
                <c:pt idx="7">
                  <c:v>5.651529</c:v>
                </c:pt>
                <c:pt idx="8">
                  <c:v>6.7321390000000001</c:v>
                </c:pt>
                <c:pt idx="9">
                  <c:v>9.8993120000000001</c:v>
                </c:pt>
                <c:pt idx="10">
                  <c:v>12.596845</c:v>
                </c:pt>
                <c:pt idx="11">
                  <c:v>13.888402000000006</c:v>
                </c:pt>
                <c:pt idx="12">
                  <c:v>14.719999999999999</c:v>
                </c:pt>
                <c:pt idx="13">
                  <c:v>15.56</c:v>
                </c:pt>
                <c:pt idx="14">
                  <c:v>11.34</c:v>
                </c:pt>
                <c:pt idx="15">
                  <c:v>10.8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36334720"/>
        <c:axId val="41698048"/>
      </c:barChart>
      <c:catAx>
        <c:axId val="13633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1698048"/>
        <c:crosses val="autoZero"/>
        <c:auto val="1"/>
        <c:lblAlgn val="ctr"/>
        <c:lblOffset val="100"/>
        <c:noMultiLvlLbl val="0"/>
      </c:catAx>
      <c:valAx>
        <c:axId val="41698048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one"/>
        <c:crossAx val="1363347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dLbls>
            <c:dLbl>
              <c:idx val="14"/>
              <c:layout>
                <c:manualLayout>
                  <c:x val="-6.9055579459957198E-3"/>
                  <c:y val="-2.9539813670266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Arkusz2!$R$3:$R$18</c:f>
              <c:strCache>
                <c:ptCount val="16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 (X)</c:v>
                </c:pt>
              </c:strCache>
            </c:strRef>
          </c:cat>
          <c:val>
            <c:numRef>
              <c:f>Arkusz2!$S$3:$S$18</c:f>
              <c:numCache>
                <c:formatCode>#,##0.0</c:formatCode>
                <c:ptCount val="16"/>
                <c:pt idx="0">
                  <c:v>0.69899999999999995</c:v>
                </c:pt>
                <c:pt idx="1">
                  <c:v>5.3599999999999985</c:v>
                </c:pt>
                <c:pt idx="2">
                  <c:v>11.952000000000027</c:v>
                </c:pt>
                <c:pt idx="3">
                  <c:v>17.161000000000001</c:v>
                </c:pt>
                <c:pt idx="4">
                  <c:v>47.149000000000001</c:v>
                </c:pt>
                <c:pt idx="5">
                  <c:v>43.718000000000011</c:v>
                </c:pt>
                <c:pt idx="6">
                  <c:v>46.026000000000003</c:v>
                </c:pt>
                <c:pt idx="7">
                  <c:v>46.954999999999998</c:v>
                </c:pt>
                <c:pt idx="8">
                  <c:v>84.986000000000004</c:v>
                </c:pt>
                <c:pt idx="9">
                  <c:v>70.709999999999994</c:v>
                </c:pt>
                <c:pt idx="10">
                  <c:v>89.222999999999999</c:v>
                </c:pt>
                <c:pt idx="11">
                  <c:v>144.17399999999998</c:v>
                </c:pt>
                <c:pt idx="12">
                  <c:v>181.36800000000036</c:v>
                </c:pt>
                <c:pt idx="13">
                  <c:v>145.17699999999999</c:v>
                </c:pt>
                <c:pt idx="14">
                  <c:v>147.9</c:v>
                </c:pt>
                <c:pt idx="15">
                  <c:v>241.4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699584"/>
        <c:axId val="119178368"/>
      </c:lineChart>
      <c:catAx>
        <c:axId val="4169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178368"/>
        <c:crosses val="autoZero"/>
        <c:auto val="1"/>
        <c:lblAlgn val="ctr"/>
        <c:lblOffset val="100"/>
        <c:noMultiLvlLbl val="0"/>
      </c:catAx>
      <c:valAx>
        <c:axId val="11917836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one"/>
        <c:crossAx val="41699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15DB-8FCA-423C-A733-D81E2EF3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Racibórz, dn</vt:lpstr>
      <vt:lpstr>Racibórz, dn</vt:lpstr>
    </vt:vector>
  </TitlesOfParts>
  <Company>TOSHIBA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Racibórz, dn</dc:title>
  <dc:creator>OEM</dc:creator>
  <cp:lastModifiedBy>herbie skeete</cp:lastModifiedBy>
  <cp:revision>2</cp:revision>
  <cp:lastPrinted>2013-08-09T08:50:00Z</cp:lastPrinted>
  <dcterms:created xsi:type="dcterms:W3CDTF">2013-11-08T18:45:00Z</dcterms:created>
  <dcterms:modified xsi:type="dcterms:W3CDTF">2013-11-08T18:45:00Z</dcterms:modified>
</cp:coreProperties>
</file>